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6"/>
        <w:tblW w:w="9241" w:type="dxa"/>
        <w:tblLook w:val="04A0" w:firstRow="1" w:lastRow="0" w:firstColumn="1" w:lastColumn="0" w:noHBand="0" w:noVBand="1"/>
      </w:tblPr>
      <w:tblGrid>
        <w:gridCol w:w="3686"/>
        <w:gridCol w:w="5555"/>
      </w:tblGrid>
      <w:tr w:rsidR="00B05208" w:rsidRPr="002822A0" w14:paraId="1CA4EA59" w14:textId="77777777" w:rsidTr="00B05208">
        <w:trPr>
          <w:trHeight w:val="897"/>
        </w:trPr>
        <w:tc>
          <w:tcPr>
            <w:tcW w:w="3686" w:type="dxa"/>
            <w:shd w:val="clear" w:color="auto" w:fill="auto"/>
          </w:tcPr>
          <w:p w14:paraId="7B2AA5C2" w14:textId="77777777" w:rsidR="00B05208" w:rsidRDefault="00B05208" w:rsidP="00B05208">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2E25F200" w14:textId="77777777" w:rsidR="00B05208" w:rsidRPr="00B05208" w:rsidRDefault="00B05208" w:rsidP="00B05208">
            <w:pPr>
              <w:spacing w:before="40" w:after="40" w:line="240" w:lineRule="auto"/>
              <w:rPr>
                <w:rFonts w:ascii="Times New Roman" w:hAnsi="Times New Roman" w:cs="Times New Roman"/>
                <w:sz w:val="26"/>
              </w:rPr>
            </w:pPr>
            <w:r>
              <w:rPr>
                <w:rFonts w:ascii="Times New Roman" w:hAnsi="Times New Roman" w:cs="Times New Roman"/>
                <w:b/>
                <w:sz w:val="26"/>
              </w:rPr>
              <w:t>BAN BIÊN TẬP ĐÀI TT</w:t>
            </w:r>
          </w:p>
          <w:p w14:paraId="00C1B169" w14:textId="77777777" w:rsidR="00B05208" w:rsidRPr="002822A0" w:rsidRDefault="00B05208" w:rsidP="00B05208">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DBF146C" wp14:editId="267F6700">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0859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555" w:type="dxa"/>
            <w:shd w:val="clear" w:color="auto" w:fill="auto"/>
          </w:tcPr>
          <w:p w14:paraId="21BFC098" w14:textId="77777777" w:rsidR="00B05208" w:rsidRPr="002822A0" w:rsidRDefault="00B05208" w:rsidP="00B05208">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544C4A94" w14:textId="77777777" w:rsidR="00B05208" w:rsidRPr="002822A0" w:rsidRDefault="00B05208" w:rsidP="00B05208">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DD6006C" w14:textId="77777777" w:rsidR="00B05208" w:rsidRPr="002822A0" w:rsidRDefault="00B05208" w:rsidP="00B05208">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009F36E8" wp14:editId="770A15D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B0702"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65DAF990" w14:textId="77777777" w:rsidR="00B05208" w:rsidRPr="002822A0" w:rsidRDefault="00B05208" w:rsidP="00B05208">
            <w:pPr>
              <w:spacing w:before="40" w:after="40" w:line="240" w:lineRule="auto"/>
              <w:jc w:val="center"/>
              <w:rPr>
                <w:rFonts w:ascii="Times New Roman" w:hAnsi="Times New Roman" w:cs="Times New Roman"/>
                <w:i/>
                <w:sz w:val="14"/>
              </w:rPr>
            </w:pPr>
          </w:p>
        </w:tc>
      </w:tr>
    </w:tbl>
    <w:p w14:paraId="7E3754BB" w14:textId="77777777" w:rsidR="00801DB9" w:rsidRPr="002822A0" w:rsidRDefault="00801DB9">
      <w:pPr>
        <w:rPr>
          <w:rFonts w:ascii="Times New Roman" w:hAnsi="Times New Roman" w:cs="Times New Roman"/>
        </w:rPr>
      </w:pPr>
    </w:p>
    <w:p w14:paraId="3CDE8C49" w14:textId="1FAF80CB" w:rsidR="003F763D" w:rsidRDefault="00B05208" w:rsidP="008A6DC3">
      <w:pPr>
        <w:tabs>
          <w:tab w:val="left" w:pos="3544"/>
        </w:tabs>
        <w:spacing w:after="12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spellStart"/>
      <w:r w:rsidRPr="00B05208">
        <w:rPr>
          <w:rFonts w:ascii="Times New Roman" w:hAnsi="Times New Roman" w:cs="Times New Roman"/>
          <w:i/>
          <w:sz w:val="28"/>
          <w:szCs w:val="28"/>
          <w:lang w:val="en-US"/>
        </w:rPr>
        <w:t>Kỳ</w:t>
      </w:r>
      <w:proofErr w:type="spellEnd"/>
      <w:r w:rsidR="008E41C4">
        <w:rPr>
          <w:rFonts w:ascii="Times New Roman" w:hAnsi="Times New Roman" w:cs="Times New Roman"/>
          <w:i/>
          <w:sz w:val="28"/>
          <w:szCs w:val="28"/>
          <w:lang w:val="en-US"/>
        </w:rPr>
        <w:t xml:space="preserve"> Phong, </w:t>
      </w:r>
      <w:proofErr w:type="spellStart"/>
      <w:r w:rsidR="008E41C4">
        <w:rPr>
          <w:rFonts w:ascii="Times New Roman" w:hAnsi="Times New Roman" w:cs="Times New Roman"/>
          <w:i/>
          <w:sz w:val="28"/>
          <w:szCs w:val="28"/>
          <w:lang w:val="en-US"/>
        </w:rPr>
        <w:t>ngày</w:t>
      </w:r>
      <w:proofErr w:type="spellEnd"/>
      <w:r w:rsidR="008E41C4">
        <w:rPr>
          <w:rFonts w:ascii="Times New Roman" w:hAnsi="Times New Roman" w:cs="Times New Roman"/>
          <w:i/>
          <w:sz w:val="28"/>
          <w:szCs w:val="28"/>
          <w:lang w:val="en-US"/>
        </w:rPr>
        <w:t xml:space="preserve"> 30 </w:t>
      </w:r>
      <w:proofErr w:type="spellStart"/>
      <w:r w:rsidR="008E41C4">
        <w:rPr>
          <w:rFonts w:ascii="Times New Roman" w:hAnsi="Times New Roman" w:cs="Times New Roman"/>
          <w:i/>
          <w:sz w:val="28"/>
          <w:szCs w:val="28"/>
          <w:lang w:val="en-US"/>
        </w:rPr>
        <w:t>tháng</w:t>
      </w:r>
      <w:proofErr w:type="spellEnd"/>
      <w:r w:rsidR="008E41C4">
        <w:rPr>
          <w:rFonts w:ascii="Times New Roman" w:hAnsi="Times New Roman" w:cs="Times New Roman"/>
          <w:i/>
          <w:sz w:val="28"/>
          <w:szCs w:val="28"/>
          <w:lang w:val="en-US"/>
        </w:rPr>
        <w:t xml:space="preserve"> 8</w:t>
      </w:r>
      <w:r w:rsidRPr="00B05208">
        <w:rPr>
          <w:rFonts w:ascii="Times New Roman" w:hAnsi="Times New Roman" w:cs="Times New Roman"/>
          <w:i/>
          <w:sz w:val="28"/>
          <w:szCs w:val="28"/>
          <w:lang w:val="en-US"/>
        </w:rPr>
        <w:t xml:space="preserve"> </w:t>
      </w:r>
      <w:proofErr w:type="spellStart"/>
      <w:r w:rsidRPr="00B05208">
        <w:rPr>
          <w:rFonts w:ascii="Times New Roman" w:hAnsi="Times New Roman" w:cs="Times New Roman"/>
          <w:i/>
          <w:sz w:val="28"/>
          <w:szCs w:val="28"/>
          <w:lang w:val="en-US"/>
        </w:rPr>
        <w:t>năm</w:t>
      </w:r>
      <w:proofErr w:type="spellEnd"/>
      <w:r w:rsidRPr="00B05208">
        <w:rPr>
          <w:rFonts w:ascii="Times New Roman" w:hAnsi="Times New Roman" w:cs="Times New Roman"/>
          <w:i/>
          <w:sz w:val="28"/>
          <w:szCs w:val="28"/>
          <w:lang w:val="en-US"/>
        </w:rPr>
        <w:t xml:space="preserve"> 20204</w:t>
      </w:r>
    </w:p>
    <w:p w14:paraId="6F1C28DE" w14:textId="77777777" w:rsidR="00B05208" w:rsidRPr="00B05208" w:rsidRDefault="00B05208" w:rsidP="008A6DC3">
      <w:pPr>
        <w:tabs>
          <w:tab w:val="left" w:pos="3544"/>
        </w:tabs>
        <w:spacing w:after="120" w:line="240" w:lineRule="auto"/>
        <w:jc w:val="center"/>
        <w:rPr>
          <w:rFonts w:ascii="Times New Roman" w:hAnsi="Times New Roman" w:cs="Times New Roman"/>
          <w:i/>
          <w:sz w:val="28"/>
          <w:szCs w:val="28"/>
          <w:lang w:val="en-US"/>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397494D9" w14:textId="60FE333F" w:rsidR="00075BED" w:rsidRPr="00B05208" w:rsidRDefault="003F763D" w:rsidP="00B05208">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6857BC2" w14:textId="00C2289C"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vụ, cục, thanh tra, văn phòng thuộc tổng cục thuộc bộ</w:t>
      </w:r>
    </w:p>
    <w:p w14:paraId="5DADBA1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lastRenderedPageBreak/>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8B70C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 xml:space="preserve">Việc trì hoãn giao dịch, phong tỏa tài khoản, tạm ngừng lưu thông, phong tỏa, niêm phong, tạm giữ đối với tiền, tài sản liên quan đến khủng bố, tài trợ khủng </w:t>
      </w:r>
      <w:r w:rsidRPr="00824364">
        <w:rPr>
          <w:rFonts w:ascii="Times New Roman" w:hAnsi="Times New Roman" w:cs="Times New Roman"/>
          <w:sz w:val="28"/>
          <w:szCs w:val="28"/>
        </w:rPr>
        <w:lastRenderedPageBreak/>
        <w:t>bố quy định tại Nghị định 122/2013/NĐ-CP được thực hiện trên nguyên tắc không chậm trễ và không thông báo trước.</w:t>
      </w:r>
    </w:p>
    <w:p w14:paraId="1EB18AFF" w14:textId="77777777" w:rsidR="00343467"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43467">
      <w:pPr>
        <w:spacing w:after="0"/>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43467">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lastRenderedPageBreak/>
        <w:t>Để được hưởng chính sách khuyến khích xử lý chất thải chăn nuôi, các đối tượng phải đáp ứng các điều kiện sau:</w:t>
      </w:r>
    </w:p>
    <w:p w14:paraId="75101B67"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r w:rsidR="00000000">
        <w:fldChar w:fldCharType="begin"/>
      </w:r>
      <w:r w:rsidR="00000000">
        <w:instrText>HYPERLINK "https://thuvienphapluat.vn/van-ban/Linh-vuc-khac/Luat-Chan-nuoi-2018-353242.aspx"</w:instrText>
      </w:r>
      <w:r w:rsidR="00000000">
        <w:fldChar w:fldCharType="separate"/>
      </w:r>
      <w:r w:rsidRPr="00343467">
        <w:rPr>
          <w:rStyle w:val="Hyperlink"/>
          <w:rFonts w:ascii="Times New Roman" w:hAnsi="Times New Roman" w:cs="Times New Roman"/>
          <w:sz w:val="28"/>
          <w:szCs w:val="28"/>
        </w:rPr>
        <w:t>Luật Chăn nuôi 2018</w:t>
      </w:r>
      <w:r w:rsidR="00000000">
        <w:rPr>
          <w:rStyle w:val="Hyperlink"/>
          <w:rFonts w:ascii="Times New Roman" w:hAnsi="Times New Roman" w:cs="Times New Roman"/>
          <w:sz w:val="28"/>
          <w:szCs w:val="28"/>
        </w:rPr>
        <w:fldChar w:fldCharType="end"/>
      </w:r>
      <w:r w:rsidRPr="00343467">
        <w:rPr>
          <w:rFonts w:ascii="Times New Roman" w:hAnsi="Times New Roman" w:cs="Times New Roman"/>
          <w:sz w:val="28"/>
          <w:szCs w:val="28"/>
        </w:rPr>
        <w:t>.</w:t>
      </w:r>
    </w:p>
    <w:p w14:paraId="05F82F7D"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r w:rsidR="00000000">
        <w:fldChar w:fldCharType="begin"/>
      </w:r>
      <w:r w:rsidR="00000000">
        <w:instrText>HYPERLINK "https://thuvienphapluat.vn/van-ban/Bo-may-hanh-chinh/Quyet-dinh-1002-QD-BGTVT-2024-cong-bo-thu-tuc-hanh-chinh-linh-vuc-dang-kiem-621379.aspx" \t "_blank"</w:instrText>
      </w:r>
      <w:r w:rsidR="00000000">
        <w:fldChar w:fldCharType="separate"/>
      </w:r>
      <w:r w:rsidRPr="00B06B4A">
        <w:rPr>
          <w:rStyle w:val="Hyperlink"/>
          <w:rFonts w:ascii="Times New Roman" w:hAnsi="Times New Roman" w:cs="Times New Roman"/>
          <w:b/>
          <w:bCs/>
          <w:sz w:val="28"/>
          <w:szCs w:val="28"/>
        </w:rPr>
        <w:t>Quyết định 1002/QĐ-BGTVT</w:t>
      </w:r>
      <w:r w:rsidR="00000000">
        <w:rPr>
          <w:rStyle w:val="Hyperlink"/>
          <w:rFonts w:ascii="Times New Roman" w:hAnsi="Times New Roman" w:cs="Times New Roman"/>
          <w:b/>
          <w:bCs/>
          <w:sz w:val="28"/>
          <w:szCs w:val="28"/>
        </w:rPr>
        <w:fldChar w:fldCharType="end"/>
      </w:r>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8"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B06B4A">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lastRenderedPageBreak/>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30819A0C" w14:textId="6A9B882D"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lang w:val="en-US"/>
        </w:rPr>
      </w:pPr>
      <w:proofErr w:type="spellStart"/>
      <w:r w:rsidRPr="00165CD0">
        <w:rPr>
          <w:rFonts w:ascii="Times New Roman" w:hAnsi="Times New Roman" w:cs="Times New Roman"/>
          <w:color w:val="000000" w:themeColor="text1"/>
          <w:sz w:val="28"/>
          <w:szCs w:val="28"/>
          <w:lang w:val="en-US"/>
        </w:rPr>
        <w:t>Phòng</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Phân</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tích</w:t>
      </w:r>
      <w:proofErr w:type="spellEnd"/>
      <w:r w:rsidRPr="00165CD0">
        <w:rPr>
          <w:rFonts w:ascii="Times New Roman" w:hAnsi="Times New Roman" w:cs="Times New Roman"/>
          <w:color w:val="000000" w:themeColor="text1"/>
          <w:sz w:val="28"/>
          <w:szCs w:val="28"/>
          <w:lang w:val="en-US"/>
        </w:rPr>
        <w:t>.</w:t>
      </w:r>
    </w:p>
    <w:p w14:paraId="1C15C26A" w14:textId="3947DF20" w:rsidR="00B06B4A" w:rsidRPr="00165CD0" w:rsidRDefault="00165CD0" w:rsidP="00165CD0">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9"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0"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chính (hạng II), Bác sĩ y học dự phòng chính (hạng II), Y tế công cộng chính (hạng II), Dược sĩ chính (hạng II), Điều dưỡng hạng II, Hộ sinh hạng II, Kỹ thuật y hạng II, Dinh dưỡng hạng II, Dân số viên hạng II.</w:t>
      </w:r>
    </w:p>
    <w:p w14:paraId="6637DBE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Đạt danh hiệu “Thầy thuốc nhân dân”;</w:t>
      </w:r>
    </w:p>
    <w:p w14:paraId="40720217"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Đạt danh hiệu Chiến sĩ thi đua toàn quốc;</w:t>
      </w:r>
    </w:p>
    <w:p w14:paraId="70C6FA34"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Được khen thưởng Huân chương Lao động hạng Nhì trở lên;</w:t>
      </w:r>
    </w:p>
    <w:p w14:paraId="1C799288"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Chủ nhiệm hoặc thành viên tham gia chính ít nhất 01 nhiệm vụ khoa học và công nghệ từ cấp bộ, cấp tỉnh trở lên và nhiệm vụ khoa học và công nghệ này phải được nghiệm thu từ mức đạt trở lên;</w:t>
      </w:r>
    </w:p>
    <w:p w14:paraId="7EF725C6"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Chủ trì hoặc thành viên tham gia chính ít nhất 01 đề án hoặc 01 hướng dẫn, quy trình chuyên môn kỹ thuật trong lĩnh vực công tác được cấp bộ, cấp tỉnh ban hành;</w:t>
      </w:r>
    </w:p>
    <w:p w14:paraId="6A7109E0" w14:textId="77777777" w:rsidR="008A7BCD" w:rsidRPr="004531AB" w:rsidRDefault="008A7BCD" w:rsidP="008A7BCD">
      <w:pPr>
        <w:spacing w:after="0"/>
        <w:ind w:firstLine="720"/>
        <w:jc w:val="both"/>
        <w:rPr>
          <w:rFonts w:ascii="Times New Roman" w:hAnsi="Times New Roman" w:cs="Times New Roman"/>
          <w:sz w:val="28"/>
          <w:szCs w:val="28"/>
        </w:rPr>
      </w:pPr>
      <w:r w:rsidRPr="004531AB">
        <w:rPr>
          <w:rFonts w:ascii="Times New Roman" w:hAnsi="Times New Roman" w:cs="Times New Roman"/>
          <w:sz w:val="28"/>
          <w:szCs w:val="28"/>
        </w:rPr>
        <w:t>- Chủ nhiệm ít nhất 03 nhiệm vụ khoa học và công nghệ từ cấp cơ sở trở lên và nhiệm vụ khoa học và công nghệ này phải được nghiệm thu từ mức đạt trở lên...</w:t>
      </w:r>
    </w:p>
    <w:p w14:paraId="16ECE16D" w14:textId="703CD471"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9E124D">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 được quy định như sau:</w:t>
      </w:r>
    </w:p>
    <w:p w14:paraId="254B0D0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1"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2"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8A7BCD">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Thông tư 151/2010/TT-BTC hướng dẫn áp dụng các loại thuế và các khoản nộp ngân sách nhà nước đối với Quỹ phát triển đất quy định tại Điều 34 </w:t>
      </w:r>
      <w:r w:rsidRPr="005A5D32">
        <w:rPr>
          <w:rFonts w:ascii="Times New Roman" w:hAnsi="Times New Roman" w:cs="Times New Roman"/>
          <w:sz w:val="28"/>
          <w:szCs w:val="28"/>
        </w:rPr>
        <w:lastRenderedPageBreak/>
        <w:t>Nghị định 69/2009/NĐ-CP quy định bổ sung về quy hoạch sử dụng đất, giá đất, thu hồi đất, bồi thường, hỗ trợ và tái định cư.</w:t>
      </w:r>
    </w:p>
    <w:p w14:paraId="0102169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3"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4"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0506DEF" w14:textId="77777777" w:rsidR="005A5D32" w:rsidRPr="005A5D32" w:rsidRDefault="005A5D32" w:rsidP="005A5D3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án giá cập nhật quý III hoặc kế hoạch cung cấp điện và vận hành hệ thống điện quốc gia năm N được cập nhật;</w:t>
      </w:r>
    </w:p>
    <w:p w14:paraId="1DC1002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w:t>
      </w:r>
      <w:r w:rsidRPr="005A5D32">
        <w:rPr>
          <w:rFonts w:ascii="Times New Roman" w:hAnsi="Times New Roman" w:cs="Times New Roman"/>
          <w:sz w:val="28"/>
          <w:szCs w:val="28"/>
        </w:rPr>
        <w:lastRenderedPageBreak/>
        <w:t>các tháng đầu năm đã thực hiện và dự kiến chi phí mua điện các tháng còn lại trong năm, trong đó:</w:t>
      </w:r>
    </w:p>
    <w:p w14:paraId="21FBD0C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77DF294F" w14:textId="54FCCBDB"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5A5D3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5A5D3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 xml:space="preserve">Thông tư 29/2024/TT-BGTVT của Bộ Giao thông Vận tải quy định về điều kiện, tiêu chuẩn, trang phục, thẻ thanh tra chuyên ngành của người </w:t>
      </w:r>
      <w:r w:rsidR="00504374" w:rsidRPr="00504374">
        <w:rPr>
          <w:rFonts w:ascii="Times New Roman" w:hAnsi="Times New Roman" w:cs="Times New Roman"/>
          <w:b/>
          <w:bCs/>
          <w:sz w:val="28"/>
          <w:szCs w:val="28"/>
        </w:rPr>
        <w:lastRenderedPageBreak/>
        <w:t>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504374">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07C55E03" w14:textId="688FC9EA"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6432F081" w:rsidR="005A5D32" w:rsidRDefault="00504374" w:rsidP="00504374">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20/9/2024</w:t>
      </w:r>
    </w:p>
    <w:p w14:paraId="11416B71" w14:textId="77777777" w:rsidR="00B05208" w:rsidRDefault="00B05208" w:rsidP="00504374">
      <w:pPr>
        <w:spacing w:after="0"/>
        <w:ind w:left="720" w:firstLine="720"/>
        <w:jc w:val="both"/>
        <w:rPr>
          <w:rFonts w:ascii="Times New Roman" w:hAnsi="Times New Roman" w:cs="Times New Roman"/>
          <w:sz w:val="28"/>
          <w:szCs w:val="28"/>
        </w:rPr>
      </w:pPr>
    </w:p>
    <w:tbl>
      <w:tblPr>
        <w:tblW w:w="10184" w:type="dxa"/>
        <w:tblInd w:w="-432" w:type="dxa"/>
        <w:tblLook w:val="04A0" w:firstRow="1" w:lastRow="0" w:firstColumn="1" w:lastColumn="0" w:noHBand="0" w:noVBand="1"/>
      </w:tblPr>
      <w:tblGrid>
        <w:gridCol w:w="5092"/>
        <w:gridCol w:w="5092"/>
      </w:tblGrid>
      <w:tr w:rsidR="00B05208" w:rsidRPr="00217794" w14:paraId="0B1E43FA" w14:textId="77777777" w:rsidTr="00F0003E">
        <w:trPr>
          <w:trHeight w:val="2259"/>
        </w:trPr>
        <w:tc>
          <w:tcPr>
            <w:tcW w:w="4643" w:type="dxa"/>
          </w:tcPr>
          <w:p w14:paraId="7898011F" w14:textId="77777777" w:rsidR="00B05208" w:rsidRPr="00B05208" w:rsidRDefault="00B05208" w:rsidP="00F0003E">
            <w:pPr>
              <w:spacing w:before="40" w:after="40" w:line="240" w:lineRule="auto"/>
              <w:jc w:val="center"/>
              <w:rPr>
                <w:rFonts w:ascii="Times New Roman" w:eastAsia="Times New Roman" w:hAnsi="Times New Roman" w:cs="Times New Roman"/>
                <w:b/>
                <w:bCs/>
                <w:color w:val="000000"/>
                <w:kern w:val="36"/>
                <w:sz w:val="28"/>
                <w:szCs w:val="28"/>
              </w:rPr>
            </w:pPr>
            <w:r w:rsidRPr="00B05208">
              <w:rPr>
                <w:rFonts w:ascii="Times New Roman" w:eastAsia="Times New Roman" w:hAnsi="Times New Roman" w:cs="Times New Roman"/>
                <w:b/>
                <w:bCs/>
                <w:color w:val="000000"/>
                <w:kern w:val="36"/>
                <w:sz w:val="28"/>
                <w:szCs w:val="28"/>
              </w:rPr>
              <w:t>NGƯỜI VIẾT BÀI</w:t>
            </w:r>
          </w:p>
          <w:p w14:paraId="7A6FFAAB"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34F06E6E"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06C932A1"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6FA7F498"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195F6E92" w14:textId="77777777" w:rsidR="00B05208" w:rsidRPr="00B05208" w:rsidRDefault="00B05208" w:rsidP="00F0003E">
            <w:pPr>
              <w:spacing w:before="40" w:after="40" w:line="240" w:lineRule="auto"/>
              <w:jc w:val="center"/>
              <w:rPr>
                <w:rFonts w:ascii="Times New Roman" w:hAnsi="Times New Roman" w:cs="Times New Roman"/>
                <w:b/>
                <w:color w:val="000000"/>
                <w:sz w:val="28"/>
                <w:szCs w:val="28"/>
              </w:rPr>
            </w:pPr>
            <w:r w:rsidRPr="00B05208">
              <w:rPr>
                <w:rFonts w:ascii="Times New Roman" w:hAnsi="Times New Roman" w:cs="Times New Roman"/>
                <w:b/>
                <w:color w:val="000000"/>
                <w:sz w:val="28"/>
                <w:szCs w:val="28"/>
              </w:rPr>
              <w:t>Nguyễn Xuân Tào</w:t>
            </w:r>
          </w:p>
        </w:tc>
        <w:tc>
          <w:tcPr>
            <w:tcW w:w="4643" w:type="dxa"/>
          </w:tcPr>
          <w:p w14:paraId="7D219A8C" w14:textId="77777777" w:rsidR="00B05208" w:rsidRPr="00B05208" w:rsidRDefault="00B05208" w:rsidP="00F0003E">
            <w:pPr>
              <w:spacing w:before="40" w:after="40" w:line="240" w:lineRule="auto"/>
              <w:jc w:val="center"/>
              <w:rPr>
                <w:rFonts w:ascii="Times New Roman" w:hAnsi="Times New Roman" w:cs="Times New Roman"/>
                <w:b/>
                <w:color w:val="000000"/>
                <w:sz w:val="28"/>
                <w:szCs w:val="28"/>
              </w:rPr>
            </w:pPr>
            <w:r w:rsidRPr="00B05208">
              <w:rPr>
                <w:rFonts w:ascii="Times New Roman" w:hAnsi="Times New Roman" w:cs="Times New Roman"/>
                <w:b/>
                <w:color w:val="000000"/>
                <w:sz w:val="28"/>
                <w:szCs w:val="28"/>
              </w:rPr>
              <w:t>DUYỆT CỦA BAN BIÊN TẬP</w:t>
            </w:r>
          </w:p>
          <w:p w14:paraId="0D32DFF4"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73C6471D"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18A31B93"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44658994" w14:textId="77777777" w:rsidR="00B05208" w:rsidRPr="00B05208" w:rsidRDefault="00B05208" w:rsidP="00F0003E">
            <w:pPr>
              <w:spacing w:before="40" w:after="40" w:line="240" w:lineRule="auto"/>
              <w:rPr>
                <w:rFonts w:ascii="Times New Roman" w:hAnsi="Times New Roman" w:cs="Times New Roman"/>
                <w:b/>
                <w:color w:val="000000"/>
                <w:sz w:val="28"/>
                <w:szCs w:val="28"/>
              </w:rPr>
            </w:pPr>
          </w:p>
          <w:p w14:paraId="065BCEEE" w14:textId="77777777" w:rsidR="00B05208" w:rsidRPr="00B05208" w:rsidRDefault="00B05208" w:rsidP="00F0003E">
            <w:pPr>
              <w:spacing w:before="40" w:after="40" w:line="240" w:lineRule="auto"/>
              <w:jc w:val="center"/>
              <w:rPr>
                <w:rFonts w:ascii="Times New Roman" w:hAnsi="Times New Roman" w:cs="Times New Roman"/>
                <w:b/>
                <w:color w:val="000000"/>
                <w:sz w:val="28"/>
                <w:szCs w:val="28"/>
              </w:rPr>
            </w:pPr>
            <w:r w:rsidRPr="00B05208">
              <w:rPr>
                <w:rFonts w:ascii="Times New Roman" w:hAnsi="Times New Roman" w:cs="Times New Roman"/>
                <w:b/>
                <w:color w:val="000000"/>
                <w:sz w:val="28"/>
                <w:szCs w:val="28"/>
              </w:rPr>
              <w:t>Võ Tiến Sửu</w:t>
            </w:r>
          </w:p>
        </w:tc>
      </w:tr>
    </w:tbl>
    <w:p w14:paraId="777C5A10" w14:textId="77777777" w:rsidR="00B05208" w:rsidRPr="005A5D32" w:rsidRDefault="00B05208" w:rsidP="00504374">
      <w:pPr>
        <w:spacing w:after="0"/>
        <w:ind w:left="720" w:firstLine="720"/>
        <w:jc w:val="both"/>
        <w:rPr>
          <w:rFonts w:ascii="Times New Roman" w:hAnsi="Times New Roman" w:cs="Times New Roman"/>
          <w:sz w:val="28"/>
          <w:szCs w:val="28"/>
        </w:rPr>
      </w:pP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23227430"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05208">
          <w:headerReference w:type="default" r:id="rId15"/>
          <w:pgSz w:w="11906" w:h="16838"/>
          <w:pgMar w:top="284" w:right="1134" w:bottom="567"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6"/>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7B02" w14:textId="77777777" w:rsidR="003C608F" w:rsidRDefault="003C608F" w:rsidP="007137D4">
      <w:pPr>
        <w:spacing w:after="0" w:line="240" w:lineRule="auto"/>
      </w:pPr>
      <w:r>
        <w:separator/>
      </w:r>
    </w:p>
  </w:endnote>
  <w:endnote w:type="continuationSeparator" w:id="0">
    <w:p w14:paraId="6AE84787" w14:textId="77777777" w:rsidR="003C608F" w:rsidRDefault="003C608F"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F798" w14:textId="77777777" w:rsidR="003C608F" w:rsidRDefault="003C608F" w:rsidP="007137D4">
      <w:pPr>
        <w:spacing w:after="0" w:line="240" w:lineRule="auto"/>
      </w:pPr>
      <w:r>
        <w:separator/>
      </w:r>
    </w:p>
  </w:footnote>
  <w:footnote w:type="continuationSeparator" w:id="0">
    <w:p w14:paraId="3B0F6A71" w14:textId="77777777" w:rsidR="003C608F" w:rsidRDefault="003C608F"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1B078B6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C02712">
          <w:rPr>
            <w:noProof/>
            <w:sz w:val="26"/>
            <w:szCs w:val="26"/>
          </w:rPr>
          <w:t>1</w:t>
        </w:r>
        <w:r w:rsidR="00C02712">
          <w:rPr>
            <w:noProof/>
            <w:sz w:val="26"/>
            <w:szCs w:val="26"/>
          </w:rPr>
          <w:t>2</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671568">
    <w:abstractNumId w:val="17"/>
  </w:num>
  <w:num w:numId="2" w16cid:durableId="356933171">
    <w:abstractNumId w:val="42"/>
    <w:lvlOverride w:ilvl="0">
      <w:startOverride w:val="2"/>
    </w:lvlOverride>
  </w:num>
  <w:num w:numId="3" w16cid:durableId="531574598">
    <w:abstractNumId w:val="23"/>
    <w:lvlOverride w:ilvl="0">
      <w:startOverride w:val="3"/>
    </w:lvlOverride>
  </w:num>
  <w:num w:numId="4" w16cid:durableId="1712997764">
    <w:abstractNumId w:val="15"/>
    <w:lvlOverride w:ilvl="0">
      <w:startOverride w:val="4"/>
    </w:lvlOverride>
  </w:num>
  <w:num w:numId="5" w16cid:durableId="785659101">
    <w:abstractNumId w:val="14"/>
    <w:lvlOverride w:ilvl="0">
      <w:startOverride w:val="5"/>
    </w:lvlOverride>
  </w:num>
  <w:num w:numId="6" w16cid:durableId="1054038979">
    <w:abstractNumId w:val="27"/>
    <w:lvlOverride w:ilvl="0">
      <w:startOverride w:val="6"/>
    </w:lvlOverride>
  </w:num>
  <w:num w:numId="7" w16cid:durableId="1442458831">
    <w:abstractNumId w:val="29"/>
    <w:lvlOverride w:ilvl="0">
      <w:startOverride w:val="7"/>
    </w:lvlOverride>
  </w:num>
  <w:num w:numId="8" w16cid:durableId="80952851">
    <w:abstractNumId w:val="30"/>
    <w:lvlOverride w:ilvl="0">
      <w:startOverride w:val="8"/>
    </w:lvlOverride>
  </w:num>
  <w:num w:numId="9" w16cid:durableId="1671907856">
    <w:abstractNumId w:val="28"/>
    <w:lvlOverride w:ilvl="0">
      <w:startOverride w:val="9"/>
    </w:lvlOverride>
  </w:num>
  <w:num w:numId="10" w16cid:durableId="1063522125">
    <w:abstractNumId w:val="1"/>
  </w:num>
  <w:num w:numId="11" w16cid:durableId="1918005692">
    <w:abstractNumId w:val="31"/>
  </w:num>
  <w:num w:numId="12" w16cid:durableId="1039553204">
    <w:abstractNumId w:val="12"/>
  </w:num>
  <w:num w:numId="13" w16cid:durableId="282656985">
    <w:abstractNumId w:val="24"/>
  </w:num>
  <w:num w:numId="14" w16cid:durableId="749621116">
    <w:abstractNumId w:val="11"/>
  </w:num>
  <w:num w:numId="15" w16cid:durableId="1951817611">
    <w:abstractNumId w:val="21"/>
  </w:num>
  <w:num w:numId="16" w16cid:durableId="32385007">
    <w:abstractNumId w:val="16"/>
  </w:num>
  <w:num w:numId="17" w16cid:durableId="1315112144">
    <w:abstractNumId w:val="20"/>
  </w:num>
  <w:num w:numId="18" w16cid:durableId="1933977401">
    <w:abstractNumId w:val="3"/>
  </w:num>
  <w:num w:numId="19" w16cid:durableId="1863200836">
    <w:abstractNumId w:val="10"/>
  </w:num>
  <w:num w:numId="20" w16cid:durableId="1969706200">
    <w:abstractNumId w:val="39"/>
  </w:num>
  <w:num w:numId="21" w16cid:durableId="117650345">
    <w:abstractNumId w:val="0"/>
  </w:num>
  <w:num w:numId="22" w16cid:durableId="1806849317">
    <w:abstractNumId w:val="26"/>
  </w:num>
  <w:num w:numId="23" w16cid:durableId="1893930130">
    <w:abstractNumId w:val="22"/>
  </w:num>
  <w:num w:numId="24" w16cid:durableId="196546272">
    <w:abstractNumId w:val="7"/>
  </w:num>
  <w:num w:numId="25" w16cid:durableId="776217202">
    <w:abstractNumId w:val="37"/>
  </w:num>
  <w:num w:numId="26" w16cid:durableId="1982343723">
    <w:abstractNumId w:val="6"/>
  </w:num>
  <w:num w:numId="27" w16cid:durableId="626859145">
    <w:abstractNumId w:val="43"/>
  </w:num>
  <w:num w:numId="28" w16cid:durableId="1312101840">
    <w:abstractNumId w:val="19"/>
  </w:num>
  <w:num w:numId="29" w16cid:durableId="1100948631">
    <w:abstractNumId w:val="35"/>
  </w:num>
  <w:num w:numId="30" w16cid:durableId="2064598213">
    <w:abstractNumId w:val="36"/>
  </w:num>
  <w:num w:numId="31" w16cid:durableId="1056851302">
    <w:abstractNumId w:val="25"/>
  </w:num>
  <w:num w:numId="32" w16cid:durableId="183130145">
    <w:abstractNumId w:val="32"/>
  </w:num>
  <w:num w:numId="33" w16cid:durableId="35471070">
    <w:abstractNumId w:val="18"/>
  </w:num>
  <w:num w:numId="34" w16cid:durableId="461971010">
    <w:abstractNumId w:val="41"/>
  </w:num>
  <w:num w:numId="35" w16cid:durableId="1902204530">
    <w:abstractNumId w:val="40"/>
  </w:num>
  <w:num w:numId="36" w16cid:durableId="1741291555">
    <w:abstractNumId w:val="5"/>
  </w:num>
  <w:num w:numId="37" w16cid:durableId="1571696798">
    <w:abstractNumId w:val="34"/>
  </w:num>
  <w:num w:numId="38" w16cid:durableId="1199588827">
    <w:abstractNumId w:val="38"/>
  </w:num>
  <w:num w:numId="39" w16cid:durableId="692610956">
    <w:abstractNumId w:val="9"/>
  </w:num>
  <w:num w:numId="40" w16cid:durableId="1805125310">
    <w:abstractNumId w:val="44"/>
  </w:num>
  <w:num w:numId="41" w16cid:durableId="1026248595">
    <w:abstractNumId w:val="4"/>
  </w:num>
  <w:num w:numId="42" w16cid:durableId="473570019">
    <w:abstractNumId w:val="2"/>
  </w:num>
  <w:num w:numId="43" w16cid:durableId="201016302">
    <w:abstractNumId w:val="8"/>
  </w:num>
  <w:num w:numId="44" w16cid:durableId="1210872728">
    <w:abstractNumId w:val="13"/>
  </w:num>
  <w:num w:numId="45" w16cid:durableId="8173805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C608F"/>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31AB"/>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41C4"/>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5208"/>
    <w:rsid w:val="00B06B4A"/>
    <w:rsid w:val="00B11C82"/>
    <w:rsid w:val="00B20BC6"/>
    <w:rsid w:val="00B26EBD"/>
    <w:rsid w:val="00B3079B"/>
    <w:rsid w:val="00B360A1"/>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2712"/>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0473"/>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002-QD-BGTVT-2024-cong-bo-thu-tuc-hanh-chinh-linh-vuc-dang-kiem-621379.aspx" TargetMode="External"/><Relationship Id="rId13" Type="http://schemas.openxmlformats.org/officeDocument/2006/relationships/hyperlink" Target="https://thuvienphapluat.vn/van-ban/Van-hoa-Xa-hoi/Nghi-quyet-30a-2008-NQ-CP-chuong-trinh-ho-tro-giam-ngheo-nhanh-va-ben-vung-doi-voi-61-huyen-ngheo-83914.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Phong-thu-dan-su-2023-so-18-2023-QH15-519325.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quoc-phong-340395.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Lao-dong-Tien-luong/Bo-Luat-lao-dong-2019-333670.aspx" TargetMode="External"/><Relationship Id="rId4" Type="http://schemas.openxmlformats.org/officeDocument/2006/relationships/settings" Target="settings.xml"/><Relationship Id="rId9" Type="http://schemas.openxmlformats.org/officeDocument/2006/relationships/hyperlink" Target="https://thuvienphapluat.vn/van-ban/Lao-dong-Tien-luong/Bo-Luat-lao-dong-2019-333670.aspx" TargetMode="External"/><Relationship Id="rId14" Type="http://schemas.openxmlformats.org/officeDocument/2006/relationships/hyperlink" Target="https://thuvienphapluat.vn/van-ban/Doanh-nghiep/Nghi-quyet-02-NQ-CP-2013-giai-phap-thao-go-kho-khan-san-xuat-kinh-doanh-ho-tro-thi-truong-no-xau-1637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6839-68F8-434D-8EA5-534B5B09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2024-09-05T08:55:00Z</dcterms:created>
  <dcterms:modified xsi:type="dcterms:W3CDTF">2024-09-05T08:55:00Z</dcterms:modified>
</cp:coreProperties>
</file>