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68"/>
        <w:gridCol w:w="5660"/>
      </w:tblGrid>
      <w:tr w:rsidR="00A03D98" w:rsidRPr="005A02C6" w:rsidTr="007A6A77">
        <w:trPr>
          <w:trHeight w:val="897"/>
        </w:trPr>
        <w:tc>
          <w:tcPr>
            <w:tcW w:w="3568" w:type="dxa"/>
            <w:shd w:val="clear" w:color="auto" w:fill="auto"/>
          </w:tcPr>
          <w:p w:rsidR="007A6A77" w:rsidRPr="005A02C6" w:rsidRDefault="00EF1839" w:rsidP="00E0194E">
            <w:pPr>
              <w:spacing w:before="30" w:after="30" w:line="240" w:lineRule="auto"/>
              <w:jc w:val="center"/>
              <w:rPr>
                <w:rFonts w:ascii="Times New Roman" w:hAnsi="Times New Roman" w:cs="Times New Roman"/>
                <w:sz w:val="26"/>
              </w:rPr>
            </w:pPr>
            <w:r>
              <w:rPr>
                <w:rFonts w:ascii="Times New Roman" w:hAnsi="Times New Roman" w:cs="Times New Roman"/>
                <w:sz w:val="26"/>
              </w:rPr>
              <w:t>BAN BIÊN TẬP ĐÀI TT</w:t>
            </w:r>
          </w:p>
          <w:p w:rsidR="007A6A77" w:rsidRPr="005A02C6" w:rsidRDefault="006449DA" w:rsidP="00E0194E">
            <w:pPr>
              <w:spacing w:before="30" w:after="30" w:line="240" w:lineRule="auto"/>
              <w:jc w:val="center"/>
              <w:rPr>
                <w:rFonts w:ascii="Times New Roman" w:hAnsi="Times New Roman" w:cs="Times New Roman"/>
                <w:b/>
                <w:sz w:val="26"/>
              </w:rPr>
            </w:pPr>
            <w:r>
              <w:rPr>
                <w:rFonts w:ascii="Times New Roman" w:hAnsi="Times New Roman" w:cs="Times New Roman"/>
                <w:b/>
                <w:sz w:val="26"/>
              </w:rPr>
              <w:t>XÃ KỲ PHONG</w:t>
            </w:r>
          </w:p>
          <w:p w:rsidR="007A6A77" w:rsidRPr="005A02C6" w:rsidRDefault="0003786F" w:rsidP="00E0194E">
            <w:pPr>
              <w:spacing w:before="30" w:after="30" w:line="240" w:lineRule="auto"/>
              <w:jc w:val="center"/>
              <w:rPr>
                <w:rFonts w:ascii="Times New Roman" w:hAnsi="Times New Roman" w:cs="Times New Roman"/>
                <w:lang w:val="vi-VN"/>
              </w:rPr>
            </w:pPr>
            <w:r>
              <w:rPr>
                <w:rFonts w:ascii="Times New Roman" w:hAnsi="Times New Roman" w:cs="Times New Roman"/>
                <w:noProof/>
              </w:rPr>
              <w:pict>
                <v:line id="Straight Connector 3" o:spid="_x0000_s1026" style="position:absolute;left:0;text-align:left;z-index:251661312;visibility:visible" from="53.05pt,1.7pt" to="11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" strokecolor="#4579b8 [3044]"/>
              </w:pict>
            </w:r>
          </w:p>
        </w:tc>
        <w:tc>
          <w:tcPr>
            <w:tcW w:w="5660" w:type="dxa"/>
            <w:shd w:val="clear" w:color="auto" w:fill="auto"/>
          </w:tcPr>
          <w:p w:rsidR="007A6A77" w:rsidRPr="005A02C6" w:rsidRDefault="007A6A77" w:rsidP="00E0194E">
            <w:pPr>
              <w:spacing w:before="30" w:after="30" w:line="240" w:lineRule="auto"/>
              <w:jc w:val="center"/>
              <w:rPr>
                <w:rFonts w:ascii="Times New Roman" w:hAnsi="Times New Roman" w:cs="Times New Roman"/>
                <w:b/>
                <w:sz w:val="26"/>
              </w:rPr>
            </w:pPr>
            <w:r w:rsidRPr="005A02C6">
              <w:rPr>
                <w:rFonts w:ascii="Times New Roman" w:hAnsi="Times New Roman" w:cs="Times New Roman"/>
                <w:b/>
                <w:sz w:val="26"/>
              </w:rPr>
              <w:t>CỘNG HÒA XÃ HỘI CHỦ NGHĨA VIỆT NAM</w:t>
            </w:r>
          </w:p>
          <w:p w:rsidR="007A6A77" w:rsidRPr="005A02C6" w:rsidRDefault="007A6A77" w:rsidP="00E0194E">
            <w:pPr>
              <w:spacing w:before="30" w:after="30" w:line="240" w:lineRule="auto"/>
              <w:jc w:val="center"/>
              <w:rPr>
                <w:rFonts w:ascii="Times New Roman" w:hAnsi="Times New Roman" w:cs="Times New Roman"/>
                <w:b/>
                <w:sz w:val="26"/>
              </w:rPr>
            </w:pPr>
            <w:r w:rsidRPr="005A02C6">
              <w:rPr>
                <w:rFonts w:ascii="Times New Roman" w:hAnsi="Times New Roman" w:cs="Times New Roman"/>
                <w:b/>
                <w:sz w:val="26"/>
              </w:rPr>
              <w:t>Độc lập - Tự do - Hạnh phúc</w:t>
            </w:r>
          </w:p>
          <w:p w:rsidR="007A6A77" w:rsidRPr="005A02C6" w:rsidRDefault="0003786F" w:rsidP="00E0194E">
            <w:pPr>
              <w:spacing w:before="30" w:after="30" w:line="240" w:lineRule="auto"/>
              <w:jc w:val="center"/>
              <w:rPr>
                <w:rFonts w:ascii="Times New Roman" w:hAnsi="Times New Roman" w:cs="Times New Roman"/>
                <w:i/>
              </w:rPr>
            </w:pPr>
            <w:r>
              <w:rPr>
                <w:rFonts w:ascii="Times New Roman" w:hAnsi="Times New Roman" w:cs="Times New Roman"/>
                <w:i/>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63.25pt;margin-top:2.45pt;width:14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w:r>
          </w:p>
          <w:p w:rsidR="007A6A77" w:rsidRDefault="00EF1839" w:rsidP="00E0194E">
            <w:pPr>
              <w:spacing w:before="30" w:after="30" w:line="240" w:lineRule="auto"/>
              <w:jc w:val="center"/>
              <w:rPr>
                <w:rFonts w:ascii="Times New Roman" w:hAnsi="Times New Roman" w:cs="Times New Roman"/>
                <w:i/>
              </w:rPr>
            </w:pPr>
            <w:r>
              <w:rPr>
                <w:rFonts w:ascii="Times New Roman" w:hAnsi="Times New Roman" w:cs="Times New Roman"/>
                <w:i/>
              </w:rPr>
              <w:t>Kỳ Phong, ngày 31 tháng 12 năm 2021</w:t>
            </w:r>
          </w:p>
          <w:p w:rsidR="00EF1839" w:rsidRPr="00EF1839" w:rsidRDefault="00EF1839" w:rsidP="00E0194E">
            <w:pPr>
              <w:spacing w:before="30" w:after="30" w:line="240" w:lineRule="auto"/>
              <w:jc w:val="center"/>
              <w:rPr>
                <w:rFonts w:ascii="Times New Roman" w:hAnsi="Times New Roman" w:cs="Times New Roman"/>
                <w:i/>
              </w:rPr>
            </w:pPr>
          </w:p>
        </w:tc>
      </w:tr>
    </w:tbl>
    <w:p w:rsidR="007A6A77" w:rsidRPr="005A02C6" w:rsidRDefault="007A6A77" w:rsidP="00E0194E">
      <w:pPr>
        <w:pStyle w:val="NormalWeb"/>
        <w:spacing w:before="30" w:beforeAutospacing="0" w:after="30" w:afterAutospacing="0"/>
        <w:ind w:firstLine="567"/>
        <w:jc w:val="center"/>
        <w:rPr>
          <w:b/>
          <w:bCs/>
          <w:sz w:val="28"/>
          <w:szCs w:val="28"/>
          <w:bdr w:val="none" w:sz="0" w:space="0" w:color="auto" w:frame="1"/>
        </w:rPr>
      </w:pPr>
      <w:r w:rsidRPr="005A02C6">
        <w:rPr>
          <w:b/>
          <w:bCs/>
          <w:sz w:val="28"/>
          <w:szCs w:val="28"/>
          <w:bdr w:val="none" w:sz="0" w:space="0" w:color="auto" w:frame="1"/>
        </w:rPr>
        <w:t>MỘT SỐ CHÍNH SÁCH</w:t>
      </w:r>
      <w:r w:rsidR="00E353B3" w:rsidRPr="005A02C6">
        <w:rPr>
          <w:b/>
          <w:bCs/>
          <w:sz w:val="28"/>
          <w:szCs w:val="28"/>
          <w:bdr w:val="none" w:sz="0" w:space="0" w:color="auto" w:frame="1"/>
        </w:rPr>
        <w:t>, PHÁP LUẬT</w:t>
      </w:r>
    </w:p>
    <w:p w:rsidR="007A6A77" w:rsidRPr="005A02C6" w:rsidRDefault="00EB745E" w:rsidP="00E0194E">
      <w:pPr>
        <w:pStyle w:val="NormalWeb"/>
        <w:spacing w:before="30" w:beforeAutospacing="0" w:after="30" w:afterAutospacing="0"/>
        <w:ind w:firstLine="567"/>
        <w:jc w:val="center"/>
        <w:rPr>
          <w:b/>
          <w:bCs/>
          <w:sz w:val="28"/>
          <w:szCs w:val="28"/>
          <w:bdr w:val="none" w:sz="0" w:space="0" w:color="auto" w:frame="1"/>
        </w:rPr>
      </w:pPr>
      <w:r w:rsidRPr="005A02C6">
        <w:rPr>
          <w:b/>
          <w:bCs/>
          <w:sz w:val="28"/>
          <w:szCs w:val="28"/>
          <w:bdr w:val="none" w:sz="0" w:space="0" w:color="auto" w:frame="1"/>
        </w:rPr>
        <w:t xml:space="preserve">CÓ HIỆU LỰC TỪ THÁNG </w:t>
      </w:r>
      <w:r w:rsidR="00C46A60" w:rsidRPr="005A02C6">
        <w:rPr>
          <w:b/>
          <w:bCs/>
          <w:sz w:val="28"/>
          <w:szCs w:val="28"/>
          <w:bdr w:val="none" w:sz="0" w:space="0" w:color="auto" w:frame="1"/>
        </w:rPr>
        <w:t>0</w:t>
      </w:r>
      <w:r w:rsidR="00F8564C" w:rsidRPr="005A02C6">
        <w:rPr>
          <w:b/>
          <w:bCs/>
          <w:sz w:val="28"/>
          <w:szCs w:val="28"/>
          <w:bdr w:val="none" w:sz="0" w:space="0" w:color="auto" w:frame="1"/>
        </w:rPr>
        <w:t>1</w:t>
      </w:r>
      <w:r w:rsidR="00C46A60" w:rsidRPr="005A02C6">
        <w:rPr>
          <w:b/>
          <w:bCs/>
          <w:sz w:val="28"/>
          <w:szCs w:val="28"/>
          <w:bdr w:val="none" w:sz="0" w:space="0" w:color="auto" w:frame="1"/>
        </w:rPr>
        <w:t>/202</w:t>
      </w:r>
      <w:r w:rsidR="00DD58C6" w:rsidRPr="005A02C6">
        <w:rPr>
          <w:b/>
          <w:bCs/>
          <w:sz w:val="28"/>
          <w:szCs w:val="28"/>
          <w:bdr w:val="none" w:sz="0" w:space="0" w:color="auto" w:frame="1"/>
        </w:rPr>
        <w:t>2</w:t>
      </w:r>
    </w:p>
    <w:p w:rsidR="007A6A77" w:rsidRPr="005A02C6" w:rsidRDefault="007A6A77" w:rsidP="00E0194E">
      <w:pPr>
        <w:pStyle w:val="NormalWeb"/>
        <w:spacing w:before="30" w:beforeAutospacing="0" w:after="30" w:afterAutospacing="0"/>
        <w:ind w:firstLine="567"/>
        <w:jc w:val="center"/>
        <w:rPr>
          <w:b/>
          <w:bCs/>
          <w:sz w:val="28"/>
          <w:szCs w:val="28"/>
          <w:bdr w:val="none" w:sz="0" w:space="0" w:color="auto" w:frame="1"/>
        </w:rPr>
      </w:pPr>
    </w:p>
    <w:p w:rsidR="005732AB" w:rsidRPr="00481652" w:rsidRDefault="005732AB" w:rsidP="005732AB">
      <w:pPr>
        <w:pStyle w:val="NormalWeb"/>
        <w:spacing w:before="45" w:beforeAutospacing="0" w:after="45" w:afterAutospacing="0" w:line="312" w:lineRule="auto"/>
        <w:ind w:firstLine="720"/>
        <w:jc w:val="both"/>
        <w:rPr>
          <w:bCs/>
          <w:sz w:val="28"/>
          <w:szCs w:val="28"/>
        </w:rPr>
      </w:pPr>
      <w:r w:rsidRPr="00AA69D3">
        <w:rPr>
          <w:bCs/>
          <w:sz w:val="28"/>
          <w:szCs w:val="28"/>
          <w:bdr w:val="none" w:sz="0" w:space="0" w:color="auto" w:frame="1"/>
        </w:rPr>
        <w:t xml:space="preserve">Tháng </w:t>
      </w:r>
      <w:r>
        <w:rPr>
          <w:bCs/>
          <w:sz w:val="28"/>
          <w:szCs w:val="28"/>
          <w:bdr w:val="none" w:sz="0" w:space="0" w:color="auto" w:frame="1"/>
        </w:rPr>
        <w:t>01/2022</w:t>
      </w:r>
      <w:r w:rsidRPr="00AA69D3">
        <w:rPr>
          <w:bCs/>
          <w:sz w:val="28"/>
          <w:szCs w:val="28"/>
          <w:bdr w:val="none" w:sz="0" w:space="0" w:color="auto" w:frame="1"/>
        </w:rPr>
        <w:t>, có</w:t>
      </w:r>
      <w:r>
        <w:rPr>
          <w:bCs/>
          <w:sz w:val="28"/>
          <w:szCs w:val="28"/>
          <w:bdr w:val="none" w:sz="0" w:space="0" w:color="auto" w:frame="1"/>
        </w:rPr>
        <w:t xml:space="preserve"> 06 Luật, 12 </w:t>
      </w:r>
      <w:r w:rsidRPr="00AA69D3">
        <w:rPr>
          <w:bCs/>
          <w:sz w:val="28"/>
          <w:szCs w:val="28"/>
          <w:bdr w:val="none" w:sz="0" w:space="0" w:color="auto" w:frame="1"/>
        </w:rPr>
        <w:t xml:space="preserve">Nghị định, </w:t>
      </w:r>
      <w:r>
        <w:rPr>
          <w:bCs/>
          <w:sz w:val="28"/>
          <w:szCs w:val="28"/>
          <w:bdr w:val="none" w:sz="0" w:space="0" w:color="auto" w:frame="1"/>
        </w:rPr>
        <w:t>11</w:t>
      </w:r>
      <w:r w:rsidRPr="00AA69D3">
        <w:rPr>
          <w:bCs/>
          <w:sz w:val="28"/>
          <w:szCs w:val="28"/>
          <w:bdr w:val="none" w:sz="0" w:space="0" w:color="auto" w:frame="1"/>
        </w:rPr>
        <w:t xml:space="preserve"> Quyết định, </w:t>
      </w:r>
      <w:r>
        <w:rPr>
          <w:bCs/>
          <w:sz w:val="28"/>
          <w:szCs w:val="28"/>
          <w:bdr w:val="none" w:sz="0" w:space="0" w:color="auto" w:frame="1"/>
        </w:rPr>
        <w:t>63</w:t>
      </w:r>
      <w:r w:rsidRPr="00AA69D3">
        <w:rPr>
          <w:bCs/>
          <w:sz w:val="28"/>
          <w:szCs w:val="28"/>
          <w:bdr w:val="none" w:sz="0" w:space="0" w:color="auto" w:frame="1"/>
        </w:rPr>
        <w:t xml:space="preserve"> Thông tư</w:t>
      </w:r>
      <w:r>
        <w:rPr>
          <w:bCs/>
          <w:sz w:val="28"/>
          <w:szCs w:val="28"/>
          <w:bdr w:val="none" w:sz="0" w:space="0" w:color="auto" w:frame="1"/>
        </w:rPr>
        <w:t>, 01 Thông tư liên tịch, 09 Nghị quyết, 01 Hiệp định</w:t>
      </w:r>
      <w:r w:rsidRPr="00AA69D3">
        <w:rPr>
          <w:bCs/>
          <w:sz w:val="28"/>
          <w:szCs w:val="28"/>
          <w:bdr w:val="none" w:sz="0" w:space="0" w:color="auto" w:frame="1"/>
        </w:rPr>
        <w:t xml:space="preserve"> mới có hiệu lực thi hành. Trong đó, có một số chính sách pháp luật tiêu biểu như sau:</w:t>
      </w:r>
    </w:p>
    <w:p w:rsidR="00F016A0" w:rsidRPr="005A02C6" w:rsidRDefault="00DD58C6" w:rsidP="00D913FD">
      <w:pPr>
        <w:pStyle w:val="NormalWeb"/>
        <w:shd w:val="clear" w:color="auto" w:fill="FFFFFF"/>
        <w:spacing w:before="60" w:beforeAutospacing="0" w:after="60" w:afterAutospacing="0" w:line="312" w:lineRule="auto"/>
        <w:ind w:firstLine="567"/>
        <w:jc w:val="both"/>
        <w:textAlignment w:val="baseline"/>
        <w:rPr>
          <w:b/>
          <w:bCs/>
          <w:sz w:val="28"/>
          <w:szCs w:val="28"/>
          <w:bdr w:val="none" w:sz="0" w:space="0" w:color="auto" w:frame="1"/>
        </w:rPr>
      </w:pPr>
      <w:bookmarkStart w:id="0" w:name="_GoBack"/>
      <w:bookmarkEnd w:id="0"/>
      <w:r w:rsidRPr="005A02C6">
        <w:rPr>
          <w:b/>
          <w:bCs/>
          <w:sz w:val="28"/>
          <w:szCs w:val="28"/>
          <w:bdr w:val="none" w:sz="0" w:space="0" w:color="auto" w:frame="1"/>
        </w:rPr>
        <w:t>1. </w:t>
      </w:r>
      <w:r w:rsidR="00F016A0" w:rsidRPr="005A02C6">
        <w:rPr>
          <w:b/>
          <w:bCs/>
          <w:sz w:val="28"/>
          <w:szCs w:val="28"/>
          <w:bdr w:val="none" w:sz="0" w:space="0" w:color="auto" w:frame="1"/>
        </w:rPr>
        <w:t>Tăng tuổi nghỉ hưu của người lao động</w:t>
      </w:r>
    </w:p>
    <w:p w:rsidR="00F016A0" w:rsidRPr="005A02C6" w:rsidRDefault="00F016A0" w:rsidP="00D913FD">
      <w:pPr>
        <w:pStyle w:val="NormalWeb"/>
        <w:shd w:val="clear" w:color="auto" w:fill="FFFFFF"/>
        <w:spacing w:before="60" w:beforeAutospacing="0" w:after="60" w:afterAutospacing="0" w:line="312" w:lineRule="auto"/>
        <w:ind w:firstLine="567"/>
        <w:jc w:val="both"/>
        <w:textAlignment w:val="baseline"/>
        <w:rPr>
          <w:sz w:val="28"/>
          <w:szCs w:val="28"/>
          <w:shd w:val="clear" w:color="auto" w:fill="FFFFFF"/>
        </w:rPr>
      </w:pPr>
      <w:r w:rsidRPr="005A02C6">
        <w:rPr>
          <w:sz w:val="28"/>
          <w:szCs w:val="28"/>
          <w:shd w:val="clear" w:color="auto" w:fill="FFFFFF"/>
        </w:rPr>
        <w:t>Thực hiện lộ trình tăng tuổi nghỉ hưu của người lao động theo Bộ luật Lao động 2019, năm 2022, tuổi nghỉ hưu của lao động nam và nữ tiếp tục được điều chỉnh tăng.</w:t>
      </w:r>
    </w:p>
    <w:p w:rsidR="00F016A0" w:rsidRPr="00F016A0" w:rsidRDefault="00F016A0" w:rsidP="00D913FD">
      <w:pPr>
        <w:shd w:val="clear" w:color="auto" w:fill="FFFFFF"/>
        <w:spacing w:before="60" w:after="60" w:line="312" w:lineRule="auto"/>
        <w:ind w:firstLine="567"/>
        <w:jc w:val="both"/>
        <w:rPr>
          <w:rFonts w:ascii="Times New Roman" w:eastAsia="Times New Roman" w:hAnsi="Times New Roman" w:cs="Times New Roman"/>
          <w:sz w:val="28"/>
          <w:szCs w:val="28"/>
        </w:rPr>
      </w:pPr>
      <w:r w:rsidRPr="00F016A0">
        <w:rPr>
          <w:rFonts w:ascii="Times New Roman" w:eastAsia="Times New Roman" w:hAnsi="Times New Roman" w:cs="Times New Roman"/>
          <w:sz w:val="28"/>
          <w:szCs w:val="28"/>
        </w:rPr>
        <w:t>Cụ thể, năm 2022, lao động nam được nghỉ hưu khi đủ 60 tuổi 06 tháng, tăng 03 tháng so với tuổi nghỉ hưu quy định của năm 2021, lao động nữ được nghỉ hưu khi đủ 55 tuổi 08 tháng, tăng 04 tháng so với năm 2021.</w:t>
      </w:r>
    </w:p>
    <w:p w:rsidR="00F016A0" w:rsidRPr="00F016A0" w:rsidRDefault="00F016A0" w:rsidP="00D913FD">
      <w:pPr>
        <w:shd w:val="clear" w:color="auto" w:fill="FFFFFF"/>
        <w:spacing w:before="60" w:after="60" w:line="312" w:lineRule="auto"/>
        <w:ind w:firstLine="567"/>
        <w:jc w:val="both"/>
        <w:rPr>
          <w:rFonts w:ascii="Times New Roman" w:eastAsia="Times New Roman" w:hAnsi="Times New Roman" w:cs="Times New Roman"/>
          <w:sz w:val="28"/>
          <w:szCs w:val="28"/>
        </w:rPr>
      </w:pPr>
      <w:r w:rsidRPr="00F016A0">
        <w:rPr>
          <w:rFonts w:ascii="Times New Roman" w:eastAsia="Times New Roman" w:hAnsi="Times New Roman" w:cs="Times New Roman"/>
          <w:sz w:val="28"/>
          <w:szCs w:val="28"/>
        </w:rPr>
        <w:t>Trong trường hợp sức khỏe suy giảm hoặc làm công việc nặng nhọc, độc hại, nguy hiểm, hoặc làm việc ở vùng đặc biệt khó khăn, người lao động có thể nghỉ hưu ở tuổi thấp hơn từ 05 - 10 tuổi so với độ tuổi quy định nêu trên.</w:t>
      </w:r>
    </w:p>
    <w:p w:rsidR="00DD58C6" w:rsidRPr="005A02C6" w:rsidRDefault="00F016A0"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 xml:space="preserve">2. </w:t>
      </w:r>
      <w:r w:rsidR="00DD58C6" w:rsidRPr="005A02C6">
        <w:rPr>
          <w:b/>
          <w:bCs/>
          <w:sz w:val="28"/>
          <w:szCs w:val="28"/>
          <w:bdr w:val="none" w:sz="0" w:space="0" w:color="auto" w:frame="1"/>
        </w:rPr>
        <w:t>Tăng lương hưu và trợ cấp bảo hiểm xã hội</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 xml:space="preserve">Theo </w:t>
      </w:r>
      <w:r w:rsidR="00B95455">
        <w:rPr>
          <w:sz w:val="28"/>
          <w:szCs w:val="28"/>
        </w:rPr>
        <w:t>Nghị định 102/2021/NĐ-CP</w:t>
      </w:r>
      <w:r w:rsidRPr="005A02C6">
        <w:rPr>
          <w:sz w:val="28"/>
          <w:szCs w:val="28"/>
        </w:rPr>
        <w:t>8</w:t>
      </w:r>
      <w:r w:rsidR="0096611C" w:rsidRPr="005A02C6">
        <w:rPr>
          <w:sz w:val="28"/>
          <w:szCs w:val="28"/>
        </w:rPr>
        <w:t>/2021/NĐ-CP</w:t>
      </w:r>
      <w:r w:rsidR="00991F9D" w:rsidRPr="005A02C6">
        <w:rPr>
          <w:sz w:val="28"/>
          <w:szCs w:val="28"/>
        </w:rPr>
        <w:t xml:space="preserve">ngày 07/12/2021 </w:t>
      </w:r>
      <w:r w:rsidRPr="005A02C6">
        <w:rPr>
          <w:sz w:val="28"/>
          <w:szCs w:val="28"/>
        </w:rPr>
        <w:t>của Chính phủ</w:t>
      </w:r>
      <w:r w:rsidR="00991F9D" w:rsidRPr="005A02C6">
        <w:rPr>
          <w:bCs/>
          <w:sz w:val="28"/>
          <w:szCs w:val="28"/>
        </w:rPr>
        <w:t>về điều chỉnh lương hưu, trợ cấp bảo hiểm xã hội và trợ cấp hằng tháng</w:t>
      </w:r>
      <w:r w:rsidRPr="005A02C6">
        <w:rPr>
          <w:sz w:val="28"/>
          <w:szCs w:val="28"/>
        </w:rPr>
        <w:t>, từ ngày 1/1/2022, mức lương hưu và mức trợ cấp của những đối tượng đang hưởng lương hưu và trợ cấp bảo hiểm xã hội, trợ cấp hàng tháng sẽ chính thức được tăng.</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Mức tăng sẽ là 7,4% so với mức lương hưu, mức trợ cấp bảo hiểm xã hội của tháng 12/2021.</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Sau khi thực hiện điều chỉnh theo mức tăng nêu trên, mà mức lương hưu, trợ cấp bảo hiểm xã hội, trợ cấp hằng tháng vẫn thấp hơn 2,5 triệu đồng/tháng, người nghỉ hưu trước năm 1995 còn được tăng thêm với mức như sau:</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 Tăng 200.000 đồng/người/tháng nếu có mức hưởng từ 2,3 triệu đồng/người/tháng trở xuống.</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lastRenderedPageBreak/>
        <w:t>- Tăng lên bằng 2,5 triệu đồng/người/tháng nếu có mức hưởng từ 2,3 triệu đồng đến dưới 2,5 triệu đồng/người/tháng.</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Bên cạnh đó, mức lương hưu, trợ cấp bảo hiểm xã hội, trợ cấp hằng tháng sau khi điều chỉnh là căn cứ để tính điều chỉnh lương hưu, trợ cấp ở những lần điều chỉnh tiếp theo.</w:t>
      </w:r>
    </w:p>
    <w:p w:rsidR="005B0D43" w:rsidRPr="005A02C6" w:rsidRDefault="003C2751" w:rsidP="00D913FD">
      <w:pPr>
        <w:pStyle w:val="NormalWeb"/>
        <w:shd w:val="clear" w:color="auto" w:fill="FFFFFF"/>
        <w:spacing w:before="60" w:beforeAutospacing="0" w:after="60" w:afterAutospacing="0" w:line="312" w:lineRule="auto"/>
        <w:ind w:firstLine="567"/>
        <w:jc w:val="both"/>
        <w:textAlignment w:val="baseline"/>
        <w:rPr>
          <w:b/>
          <w:sz w:val="28"/>
          <w:szCs w:val="28"/>
        </w:rPr>
      </w:pPr>
      <w:r w:rsidRPr="005A02C6">
        <w:rPr>
          <w:b/>
          <w:sz w:val="28"/>
          <w:szCs w:val="28"/>
        </w:rPr>
        <w:t>3. Ấn định mức lãi suất cho vay mua nhà ở năm 2022</w:t>
      </w:r>
    </w:p>
    <w:p w:rsidR="003C2751" w:rsidRPr="005A02C6" w:rsidRDefault="003C2751"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shd w:val="clear" w:color="auto" w:fill="FFFFFF"/>
        </w:rPr>
        <w:t>Những ngày cuối năm 2021, Ngân hàng Nhà nước Việt Nam ban hành</w:t>
      </w:r>
      <w:r w:rsidR="004923DD" w:rsidRPr="005A02C6">
        <w:rPr>
          <w:sz w:val="28"/>
          <w:szCs w:val="28"/>
        </w:rPr>
        <w:t xml:space="preserve">  </w:t>
      </w:r>
      <w:hyperlink r:id="rId8" w:tgtFrame="_blank" w:history="1">
        <w:r w:rsidR="004923DD" w:rsidRPr="005A02C6">
          <w:rPr>
            <w:sz w:val="28"/>
            <w:szCs w:val="28"/>
          </w:rPr>
          <w:t>Quyết định 1956/QĐ-NHNN</w:t>
        </w:r>
      </w:hyperlink>
      <w:r w:rsidR="004923DD" w:rsidRPr="005A02C6">
        <w:rPr>
          <w:sz w:val="28"/>
          <w:szCs w:val="28"/>
        </w:rPr>
        <w:t> ngày 03/12/2021 về mức lãi suất của các ngân hàng thương mại áp dụng trong năm 2022 đối với dư nợ của các khoản cho vay hỗ trợ nhà ở theo quy định tại </w:t>
      </w:r>
      <w:hyperlink r:id="rId9" w:tgtFrame="_blank" w:history="1">
        <w:r w:rsidR="004923DD" w:rsidRPr="005A02C6">
          <w:rPr>
            <w:sz w:val="28"/>
            <w:szCs w:val="28"/>
          </w:rPr>
          <w:t>Thông tư 11/2013/TT-NHNN</w:t>
        </w:r>
      </w:hyperlink>
      <w:r w:rsidR="004923DD" w:rsidRPr="005A02C6">
        <w:rPr>
          <w:sz w:val="28"/>
          <w:szCs w:val="28"/>
        </w:rPr>
        <w:t>, </w:t>
      </w:r>
      <w:hyperlink r:id="rId10" w:tgtFrame="_blank" w:history="1">
        <w:r w:rsidR="004923DD" w:rsidRPr="005A02C6">
          <w:rPr>
            <w:sz w:val="28"/>
            <w:szCs w:val="28"/>
          </w:rPr>
          <w:t>Thông tư 32/2014/TT-NHNN</w:t>
        </w:r>
      </w:hyperlink>
      <w:r w:rsidR="004923DD" w:rsidRPr="005A02C6">
        <w:rPr>
          <w:sz w:val="28"/>
          <w:szCs w:val="28"/>
        </w:rPr>
        <w:t> và </w:t>
      </w:r>
      <w:hyperlink r:id="rId11" w:tgtFrame="_blank" w:history="1">
        <w:r w:rsidR="004923DD" w:rsidRPr="005A02C6">
          <w:rPr>
            <w:sz w:val="28"/>
            <w:szCs w:val="28"/>
          </w:rPr>
          <w:t>Thông tư 25/2016/TT-NHNN</w:t>
        </w:r>
      </w:hyperlink>
      <w:r w:rsidRPr="005A02C6">
        <w:rPr>
          <w:sz w:val="28"/>
          <w:szCs w:val="28"/>
        </w:rPr>
        <w:t xml:space="preserve">. </w:t>
      </w:r>
    </w:p>
    <w:p w:rsidR="004923DD" w:rsidRPr="005A02C6" w:rsidRDefault="0003786F" w:rsidP="00D913FD">
      <w:pPr>
        <w:pStyle w:val="NormalWeb"/>
        <w:shd w:val="clear" w:color="auto" w:fill="FFFFFF"/>
        <w:spacing w:before="60" w:beforeAutospacing="0" w:after="60" w:afterAutospacing="0" w:line="312" w:lineRule="auto"/>
        <w:ind w:firstLine="567"/>
        <w:jc w:val="both"/>
        <w:textAlignment w:val="baseline"/>
        <w:rPr>
          <w:sz w:val="28"/>
          <w:szCs w:val="28"/>
        </w:rPr>
      </w:pPr>
      <w:hyperlink r:id="rId12" w:tgtFrame="_blank" w:history="1">
        <w:r w:rsidR="004923DD" w:rsidRPr="005A02C6">
          <w:rPr>
            <w:sz w:val="28"/>
            <w:szCs w:val="28"/>
          </w:rPr>
          <w:t>Quyết định 1956/QĐ-NHNN</w:t>
        </w:r>
      </w:hyperlink>
      <w:r w:rsidR="003C2751" w:rsidRPr="005A02C6">
        <w:rPr>
          <w:sz w:val="28"/>
          <w:szCs w:val="28"/>
        </w:rPr>
        <w:t>ấn</w:t>
      </w:r>
      <w:r w:rsidR="004923DD" w:rsidRPr="005A02C6">
        <w:rPr>
          <w:sz w:val="28"/>
          <w:szCs w:val="28"/>
        </w:rPr>
        <w:t xml:space="preserve"> định </w:t>
      </w:r>
      <w:r w:rsidR="00FB67EF" w:rsidRPr="005A02C6">
        <w:rPr>
          <w:sz w:val="28"/>
          <w:szCs w:val="28"/>
        </w:rPr>
        <w:t>mức lãi suất của ngân hàng thương mại áp dụng trong năm 2022 đối với dư nợ của các khoản cho vay hỗ trợ nhà ở là 4,8%/năm.</w:t>
      </w:r>
      <w:r w:rsidR="003C2751" w:rsidRPr="005A02C6">
        <w:rPr>
          <w:sz w:val="28"/>
          <w:szCs w:val="28"/>
          <w:shd w:val="clear" w:color="auto" w:fill="FFFFFF"/>
        </w:rPr>
        <w:t xml:space="preserve"> Mức lãi suất này được quy định là 4,8%/năm, bằng với mức lãi suất năm 2021 và giảm 0,2%/năm so với các năm 2019 và 2020.</w:t>
      </w:r>
    </w:p>
    <w:p w:rsidR="0006359D" w:rsidRPr="005A02C6" w:rsidRDefault="0006359D" w:rsidP="00D913FD">
      <w:pPr>
        <w:pStyle w:val="NormalWeb"/>
        <w:shd w:val="clear" w:color="auto" w:fill="FFFFFF"/>
        <w:spacing w:before="60" w:beforeAutospacing="0" w:after="60" w:afterAutospacing="0" w:line="312" w:lineRule="auto"/>
        <w:ind w:firstLine="567"/>
        <w:jc w:val="both"/>
        <w:textAlignment w:val="baseline"/>
        <w:rPr>
          <w:sz w:val="28"/>
          <w:szCs w:val="28"/>
          <w:shd w:val="clear" w:color="auto" w:fill="FFFFFF"/>
        </w:rPr>
      </w:pPr>
      <w:r w:rsidRPr="005A02C6">
        <w:rPr>
          <w:sz w:val="28"/>
          <w:szCs w:val="28"/>
          <w:shd w:val="clear" w:color="auto" w:fill="FFFFFF"/>
        </w:rPr>
        <w:t>Đối tượng được vay vốn là: Cán bộ, công chức, viên chức và người thu nhập thấp cần vay vốn để mua nhà ở xã hội hoặc mua ở nhà thương mại diện tích dưới 70m2, giá bán dưới 15 triệu đồng/m2; hoặc mua nhà ở thương mại tại các dự án phát triển nhà ở, dự án đầu tư xây dựng khu đô thị có tổng giá trị hợp đồng mua bán không quá 1,05 tỷ đồng…</w:t>
      </w:r>
    </w:p>
    <w:p w:rsidR="00DD58C6" w:rsidRPr="005A02C6" w:rsidRDefault="001A63F7"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4</w:t>
      </w:r>
      <w:r w:rsidR="00DD58C6" w:rsidRPr="005A02C6">
        <w:rPr>
          <w:b/>
          <w:bCs/>
          <w:sz w:val="28"/>
          <w:szCs w:val="28"/>
          <w:bdr w:val="none" w:sz="0" w:space="0" w:color="auto" w:frame="1"/>
        </w:rPr>
        <w:t>. 10 ngày điều chỉnh giá xăng dầu một lần</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 xml:space="preserve">Từ ngày 2/1/2022, </w:t>
      </w:r>
      <w:r w:rsidR="003F1676" w:rsidRPr="005A02C6">
        <w:rPr>
          <w:sz w:val="28"/>
          <w:szCs w:val="28"/>
        </w:rPr>
        <w:t>Nghị định 95/2021/NĐ-CP ngày 01/11/2021</w:t>
      </w:r>
      <w:r w:rsidRPr="005A02C6">
        <w:rPr>
          <w:sz w:val="28"/>
          <w:szCs w:val="28"/>
        </w:rPr>
        <w:t xml:space="preserve"> sửa đổi</w:t>
      </w:r>
      <w:r w:rsidR="003F1676" w:rsidRPr="005A02C6">
        <w:rPr>
          <w:sz w:val="28"/>
          <w:szCs w:val="28"/>
        </w:rPr>
        <w:t>, bổ sung một số điều của</w:t>
      </w:r>
      <w:r w:rsidRPr="005A02C6">
        <w:rPr>
          <w:sz w:val="28"/>
          <w:szCs w:val="28"/>
        </w:rPr>
        <w:t xml:space="preserve"> Nghị định 83</w:t>
      </w:r>
      <w:r w:rsidR="003F1676" w:rsidRPr="005A02C6">
        <w:rPr>
          <w:sz w:val="28"/>
          <w:szCs w:val="28"/>
        </w:rPr>
        <w:t>/2014/NĐ-CP</w:t>
      </w:r>
      <w:r w:rsidRPr="005A02C6">
        <w:rPr>
          <w:sz w:val="28"/>
          <w:szCs w:val="28"/>
        </w:rPr>
        <w:t xml:space="preserve"> về kinh doanh xăng dầu bắt đầu có hiệu lực.</w:t>
      </w:r>
    </w:p>
    <w:p w:rsidR="00DD58C6" w:rsidRPr="005A02C6" w:rsidRDefault="003F167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Nghị định 95/2021/NĐ-CP</w:t>
      </w:r>
      <w:r w:rsidR="00DD58C6" w:rsidRPr="005A02C6">
        <w:rPr>
          <w:sz w:val="28"/>
          <w:szCs w:val="28"/>
        </w:rPr>
        <w:t xml:space="preserve"> quy định giá xăng dầu sẽ được điều chỉnh vào các ngày mùng 1, ngày 11 và ngày 21 hàng tháng (tức là 10 ngày một lần). Nếu trùng vào ngày nghỉ, ngày lễ thì được lùi sang ngày làm việc tiếp theo sau ngày nghỉ; nếu trùng vào dịp nghỉ Tết Nguyên đán thì được lùi sang kỳ điều chỉnh tiếp theo.</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Trước đây, Nghị định 83/2014/NĐ-CP quy định khoảng cách giữa hai lần điều chỉnh giá liên tiếp tối thiểu là 15 ngày đối với trường hợp tăng giá, tối đa là 15 ngày đối với trường hợp giảm giá.</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lastRenderedPageBreak/>
        <w:t xml:space="preserve">Việc rút ngắn khoảng cách giữa hai lần điều chỉnh giá, xăng của </w:t>
      </w:r>
      <w:r w:rsidR="003F1676" w:rsidRPr="005A02C6">
        <w:rPr>
          <w:sz w:val="28"/>
          <w:szCs w:val="28"/>
        </w:rPr>
        <w:t>Nghị định 95/2021/NĐ-CP</w:t>
      </w:r>
      <w:r w:rsidRPr="005A02C6">
        <w:rPr>
          <w:sz w:val="28"/>
          <w:szCs w:val="28"/>
        </w:rPr>
        <w:t xml:space="preserve"> được cho là nhằm tránh tình trạng tăng giá sốc, giảm giá chậm như hiện nay.</w:t>
      </w:r>
    </w:p>
    <w:p w:rsidR="00DD58C6" w:rsidRPr="005A02C6" w:rsidRDefault="001A63F7"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5</w:t>
      </w:r>
      <w:r w:rsidR="00DD58C6" w:rsidRPr="005A02C6">
        <w:rPr>
          <w:b/>
          <w:bCs/>
          <w:sz w:val="28"/>
          <w:szCs w:val="28"/>
          <w:bdr w:val="none" w:sz="0" w:space="0" w:color="auto" w:frame="1"/>
        </w:rPr>
        <w:t>. Quy định mới về kinh doanh xăng dầu</w:t>
      </w:r>
    </w:p>
    <w:p w:rsidR="007D6E39"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 xml:space="preserve">Từ ngày 2/1/2022, Thông tư 17/2021/TT-BCT </w:t>
      </w:r>
      <w:r w:rsidR="00E86BA6" w:rsidRPr="005A02C6">
        <w:rPr>
          <w:sz w:val="28"/>
          <w:szCs w:val="28"/>
        </w:rPr>
        <w:t>sửa đổi, bổ sung một số điều của Thông tư số 38/2014/TT-BCT chính thức</w:t>
      </w:r>
      <w:r w:rsidRPr="005A02C6">
        <w:rPr>
          <w:sz w:val="28"/>
          <w:szCs w:val="28"/>
        </w:rPr>
        <w:t xml:space="preserve"> có hiệu lực.</w:t>
      </w:r>
      <w:r w:rsidR="00817762" w:rsidRPr="005A02C6">
        <w:rPr>
          <w:sz w:val="28"/>
          <w:szCs w:val="28"/>
        </w:rPr>
        <w:t>Thông tư 17/2021/TT-BCT đã</w:t>
      </w:r>
      <w:r w:rsidRPr="005A02C6">
        <w:rPr>
          <w:sz w:val="28"/>
          <w:szCs w:val="28"/>
        </w:rPr>
        <w:t xml:space="preserve">bổ sung một số quy định mới trong kinh doanh xăng dầu như quy định về điều hành giá xăng dầu; về thiết bị bán xăng dầu quy mô nhỏ và đăng ký hạn mức tổng nguồn xăng dầu tối thiểu hàng năm. </w:t>
      </w:r>
      <w:r w:rsidR="007D6E39" w:rsidRPr="005A02C6">
        <w:rPr>
          <w:sz w:val="28"/>
          <w:szCs w:val="28"/>
        </w:rPr>
        <w:t>Cụ thể:</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Thông tư 17</w:t>
      </w:r>
      <w:r w:rsidR="005A02C6" w:rsidRPr="005A02C6">
        <w:rPr>
          <w:sz w:val="28"/>
          <w:szCs w:val="28"/>
        </w:rPr>
        <w:t xml:space="preserve">/2021/TT-BCTđã </w:t>
      </w:r>
      <w:r w:rsidRPr="005A02C6">
        <w:rPr>
          <w:sz w:val="28"/>
          <w:szCs w:val="28"/>
        </w:rPr>
        <w:t>bổ sung quy định về "Điều hành giá xăng dầu" như sau: Các mặt hàng xăng dầu nhà nước công bố giá cơ sở là những mặt hàng xăng, dầu được tiêu dùng phổ biến trên thị trường gồm xăng sinh học, xăng khoáng, dầu diesel, dầu hỏa, dầu mazut. Bộ Công Thương xác định từng mặt hàng xăng, dầu tiêu dùng nhiều nhất thuộc các nhóm mặt hàng xăng sinh học, xăng khoáng, dầu diesel, dầu hỏa, dầu mazut để thực hiện công bố giá cơ sở.</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Về báo cáo lượng xăng dầu sản xuất trong nước: Định kỳ, trước ngày 29 của tháng cuối Quý, thương nhân đầu mối sản xuất xăng dầu báo cáo sản lượng bán xăng dầu trong nước theo từng chủng loại trong kỳ từ ngày 21 tháng trước liền kề tháng đầu tiên của Quý đến ngày 20 tháng cuối Quý về Bộ Công Thương để tổng hợp tính toán, xác định tỷ trọng (%) sản lượng xăng dầu từ nguồn trong nước và nhập khẩu trong công thức giá cơ sở.</w:t>
      </w:r>
    </w:p>
    <w:p w:rsidR="0046290D" w:rsidRPr="005A02C6" w:rsidRDefault="0046290D" w:rsidP="00D913FD">
      <w:pPr>
        <w:pStyle w:val="NormalWeb"/>
        <w:shd w:val="clear" w:color="auto" w:fill="FFFFFF"/>
        <w:spacing w:before="60" w:beforeAutospacing="0" w:after="60" w:afterAutospacing="0" w:line="312" w:lineRule="auto"/>
        <w:ind w:firstLine="567"/>
        <w:jc w:val="both"/>
        <w:textAlignment w:val="baseline"/>
        <w:rPr>
          <w:b/>
          <w:bCs/>
          <w:sz w:val="28"/>
          <w:szCs w:val="28"/>
          <w:bdr w:val="none" w:sz="0" w:space="0" w:color="auto" w:frame="1"/>
        </w:rPr>
      </w:pPr>
      <w:r w:rsidRPr="005A02C6">
        <w:rPr>
          <w:b/>
          <w:bCs/>
          <w:sz w:val="28"/>
          <w:szCs w:val="28"/>
          <w:bdr w:val="none" w:sz="0" w:space="0" w:color="auto" w:frame="1"/>
        </w:rPr>
        <w:t>6</w:t>
      </w:r>
      <w:r w:rsidR="00842E47" w:rsidRPr="005A02C6">
        <w:rPr>
          <w:b/>
          <w:bCs/>
          <w:sz w:val="28"/>
          <w:szCs w:val="28"/>
          <w:bdr w:val="none" w:sz="0" w:space="0" w:color="auto" w:frame="1"/>
        </w:rPr>
        <w:t>. </w:t>
      </w:r>
      <w:r w:rsidRPr="005A02C6">
        <w:rPr>
          <w:b/>
          <w:bCs/>
          <w:sz w:val="28"/>
          <w:szCs w:val="28"/>
          <w:bdr w:val="none" w:sz="0" w:space="0" w:color="auto" w:frame="1"/>
        </w:rPr>
        <w:t>Thay đổi cách tính thuế đối với người cho thuê nhà</w:t>
      </w:r>
    </w:p>
    <w:p w:rsidR="00D913FD" w:rsidRPr="005A02C6" w:rsidRDefault="00A45B29" w:rsidP="00D913FD">
      <w:pPr>
        <w:pStyle w:val="NormalWeb"/>
        <w:shd w:val="clear" w:color="auto" w:fill="FFFFFF"/>
        <w:spacing w:before="60" w:beforeAutospacing="0" w:after="60" w:afterAutospacing="0" w:line="312" w:lineRule="auto"/>
        <w:ind w:firstLine="567"/>
        <w:jc w:val="both"/>
        <w:rPr>
          <w:sz w:val="28"/>
          <w:szCs w:val="28"/>
        </w:rPr>
      </w:pPr>
      <w:r w:rsidRPr="005A02C6">
        <w:rPr>
          <w:sz w:val="28"/>
          <w:szCs w:val="28"/>
        </w:rPr>
        <w:t>Có hiệu lực từ ngày 01/01/2022,</w:t>
      </w:r>
      <w:r w:rsidR="0046290D" w:rsidRPr="005A02C6">
        <w:rPr>
          <w:sz w:val="28"/>
          <w:szCs w:val="28"/>
        </w:rPr>
        <w:t> </w:t>
      </w:r>
      <w:hyperlink r:id="rId13" w:history="1">
        <w:r w:rsidR="0046290D" w:rsidRPr="005A02C6">
          <w:rPr>
            <w:rStyle w:val="Hyperlink"/>
            <w:color w:val="auto"/>
            <w:sz w:val="28"/>
            <w:szCs w:val="28"/>
            <w:u w:val="none"/>
          </w:rPr>
          <w:t>Thông tư 100</w:t>
        </w:r>
      </w:hyperlink>
      <w:r w:rsidR="0046290D" w:rsidRPr="005A02C6">
        <w:rPr>
          <w:sz w:val="28"/>
          <w:szCs w:val="28"/>
        </w:rPr>
        <w:t xml:space="preserve">/2021/TT-BTC của Bộ Tài chính </w:t>
      </w:r>
      <w:r w:rsidR="00D913FD" w:rsidRPr="005A02C6">
        <w:rPr>
          <w:sz w:val="28"/>
          <w:szCs w:val="28"/>
        </w:rPr>
        <w:t>sửa đổi, bổ sung một số điều của Thông tư số 40/2021/TT-BTC ngày 01/6/2021 của Bộ trưởng Bộ Tài chính hướng dẫn thuế giá trị gia tăng, thuế thu nhập cá nhân và quản lý thuế đối với hộ kinh doanh, cá nhân kinh doanh đã quy định mới về cách tính thuế đối với người cho thuê nhà.</w:t>
      </w:r>
    </w:p>
    <w:p w:rsidR="0046290D" w:rsidRPr="005A02C6" w:rsidRDefault="00D913FD" w:rsidP="00D913FD">
      <w:pPr>
        <w:pStyle w:val="NormalWeb"/>
        <w:shd w:val="clear" w:color="auto" w:fill="FFFFFF"/>
        <w:spacing w:before="60" w:beforeAutospacing="0" w:after="60" w:afterAutospacing="0" w:line="312" w:lineRule="auto"/>
        <w:ind w:firstLine="567"/>
        <w:jc w:val="both"/>
        <w:rPr>
          <w:sz w:val="28"/>
          <w:szCs w:val="28"/>
        </w:rPr>
      </w:pPr>
      <w:r w:rsidRPr="005A02C6">
        <w:rPr>
          <w:sz w:val="28"/>
          <w:szCs w:val="28"/>
        </w:rPr>
        <w:t xml:space="preserve">Theo đó, Nếu cá nhân chỉ có hoạt động cho thuê nhà, thời gian cho thuê không trọn năm, doanh thu từ 100 triệu đồng/năm trở xuống thì không thuộc diện phải nộp thuế giá trị gia tăng và thuế thu nhập cá nhân (trước đó </w:t>
      </w:r>
      <w:r w:rsidR="0046290D" w:rsidRPr="005A02C6">
        <w:rPr>
          <w:sz w:val="28"/>
          <w:szCs w:val="28"/>
        </w:rPr>
        <w:t>Thông tư 40</w:t>
      </w:r>
      <w:r w:rsidRPr="005A02C6">
        <w:rPr>
          <w:sz w:val="28"/>
          <w:szCs w:val="28"/>
        </w:rPr>
        <w:t xml:space="preserve">/2021/TT-BTC quy </w:t>
      </w:r>
      <w:r w:rsidR="0046290D" w:rsidRPr="005A02C6">
        <w:rPr>
          <w:sz w:val="28"/>
          <w:szCs w:val="28"/>
        </w:rPr>
        <w:t xml:space="preserve">cá nhân cho thuê nhà không phát sinh doanh thu đủ 12 tháng trong năm dương lịch, thì mức doanh thu từ 100 triệu đồng một năm trở xuống để xác định cá nhân cho thuê nhà không phải nộp thuế giá trị gia tăng, </w:t>
      </w:r>
      <w:r w:rsidR="0046290D" w:rsidRPr="005A02C6">
        <w:rPr>
          <w:sz w:val="28"/>
          <w:szCs w:val="28"/>
        </w:rPr>
        <w:lastRenderedPageBreak/>
        <w:t>thuế thu nhập cá nhân là doanh thu tính thuế thu nhập cá nhân của một năm dương lịch (12 tháng). </w:t>
      </w:r>
    </w:p>
    <w:p w:rsidR="0046290D" w:rsidRPr="005A02C6" w:rsidRDefault="0046290D" w:rsidP="00D913FD">
      <w:pPr>
        <w:pStyle w:val="NormalWeb"/>
        <w:shd w:val="clear" w:color="auto" w:fill="FFFFFF"/>
        <w:spacing w:before="60" w:beforeAutospacing="0" w:after="60" w:afterAutospacing="0" w:line="312" w:lineRule="auto"/>
        <w:ind w:firstLine="567"/>
        <w:jc w:val="both"/>
        <w:rPr>
          <w:sz w:val="28"/>
          <w:szCs w:val="28"/>
        </w:rPr>
      </w:pPr>
      <w:r w:rsidRPr="005A02C6">
        <w:rPr>
          <w:sz w:val="28"/>
          <w:szCs w:val="28"/>
        </w:rPr>
        <w:t>Cũng theo Thông tư 100, các sàn thương mại điện tử như Shopee, Lazada, Tiki… sẽ không bắt buộc phải nộp thuê thay cho người bán; nghĩa vụ này chỉ phát sinh nếu giữa sàn thương mại điện tử và người bán sinh có hợp đồng ủy quyền. Trong khi Thông tư 40 trước đó quy định đây là nghĩa vụ bắt buộc đối với các sàn thương mại điện tử. </w:t>
      </w:r>
    </w:p>
    <w:p w:rsidR="00842E47" w:rsidRPr="005A02C6" w:rsidRDefault="0046290D"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 xml:space="preserve">7. </w:t>
      </w:r>
      <w:r w:rsidR="00842E47" w:rsidRPr="005A02C6">
        <w:rPr>
          <w:b/>
          <w:bCs/>
          <w:sz w:val="28"/>
          <w:szCs w:val="28"/>
          <w:bdr w:val="none" w:sz="0" w:space="0" w:color="auto" w:frame="1"/>
        </w:rPr>
        <w:t>Thay đổi mức phạt với nhiều vi phạm liên quan đến hóa đơn</w:t>
      </w:r>
    </w:p>
    <w:p w:rsidR="00184D4C" w:rsidRDefault="00537129" w:rsidP="00D913FD">
      <w:pPr>
        <w:pStyle w:val="NormalWeb"/>
        <w:shd w:val="clear" w:color="auto" w:fill="FFFFFF"/>
        <w:spacing w:before="60" w:beforeAutospacing="0" w:after="60" w:afterAutospacing="0" w:line="312" w:lineRule="auto"/>
        <w:ind w:firstLine="567"/>
        <w:jc w:val="both"/>
        <w:textAlignment w:val="baseline"/>
        <w:rPr>
          <w:sz w:val="28"/>
          <w:szCs w:val="28"/>
        </w:rPr>
      </w:pPr>
      <w:r>
        <w:rPr>
          <w:sz w:val="28"/>
          <w:szCs w:val="28"/>
        </w:rPr>
        <w:t>Ngày 16/11/2021, Chính phủ đã ban hành Nghị định số 102/2021/NĐ-C</w:t>
      </w:r>
      <w:r w:rsidR="00111ED1">
        <w:rPr>
          <w:sz w:val="28"/>
          <w:szCs w:val="28"/>
        </w:rPr>
        <w:t>P</w:t>
      </w:r>
      <w:r w:rsidR="00111ED1" w:rsidRPr="00111ED1">
        <w:rPr>
          <w:sz w:val="28"/>
          <w:szCs w:val="28"/>
        </w:rPr>
        <w:t>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r w:rsidR="00184D4C">
        <w:rPr>
          <w:sz w:val="28"/>
          <w:szCs w:val="28"/>
        </w:rPr>
        <w:t>.</w:t>
      </w:r>
    </w:p>
    <w:p w:rsidR="00842E47" w:rsidRPr="005A02C6" w:rsidRDefault="00B95455" w:rsidP="00D913FD">
      <w:pPr>
        <w:pStyle w:val="NormalWeb"/>
        <w:shd w:val="clear" w:color="auto" w:fill="FFFFFF"/>
        <w:spacing w:before="60" w:beforeAutospacing="0" w:after="60" w:afterAutospacing="0" w:line="312" w:lineRule="auto"/>
        <w:ind w:firstLine="567"/>
        <w:jc w:val="both"/>
        <w:textAlignment w:val="baseline"/>
        <w:rPr>
          <w:sz w:val="28"/>
          <w:szCs w:val="28"/>
        </w:rPr>
      </w:pPr>
      <w:r>
        <w:rPr>
          <w:sz w:val="28"/>
          <w:szCs w:val="28"/>
        </w:rPr>
        <w:t>Nghị định 102/2021/NĐ-CP</w:t>
      </w:r>
      <w:r w:rsidR="00842E47" w:rsidRPr="005A02C6">
        <w:rPr>
          <w:sz w:val="28"/>
          <w:szCs w:val="28"/>
        </w:rPr>
        <w:t xml:space="preserve"> quy định phạt từ 4 - 8 triệu đồng đối với trường hợp lập hóa đơn, nhưng không ghi đầy đủ các nội dung bắt buộc trên hóa đơn theo quy định, trong khi trước đây không có quy định xử phạt về hành vi này.</w:t>
      </w:r>
    </w:p>
    <w:p w:rsidR="00842E47" w:rsidRPr="005A02C6" w:rsidRDefault="00842E47"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 xml:space="preserve">Tương tự, với hành vi làm mất, cháy, hỏng hóa đơn đã lập nhưng chưa khai thuế, </w:t>
      </w:r>
      <w:r w:rsidR="00B95455">
        <w:rPr>
          <w:sz w:val="28"/>
          <w:szCs w:val="28"/>
        </w:rPr>
        <w:t>Nghị định 102/2021/NĐ-CP</w:t>
      </w:r>
      <w:r w:rsidRPr="005A02C6">
        <w:rPr>
          <w:sz w:val="28"/>
          <w:szCs w:val="28"/>
        </w:rPr>
        <w:t xml:space="preserve"> cũng quy định phạt từ 4 - 8 triệu đồng và các bên phải lập biên bản ghi nhận việc mất, cháy, hỏng hóa đơn. Trước đây, hành vi này cũng không có quy định xử phạt.</w:t>
      </w:r>
    </w:p>
    <w:p w:rsidR="00842E47" w:rsidRPr="005A02C6" w:rsidRDefault="00842E47"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 xml:space="preserve">Đáng chú ý, Nghị định mới tăng thời hiệu xử lý vi phạm hành chính trong lĩnh vực hóa đơn lên 2 năm, thay vì 1 năm như cũ. </w:t>
      </w:r>
      <w:r w:rsidR="00B95455">
        <w:rPr>
          <w:sz w:val="28"/>
          <w:szCs w:val="28"/>
        </w:rPr>
        <w:t>Nghị định 102/2021/NĐ-CP</w:t>
      </w:r>
      <w:r w:rsidRPr="005A02C6">
        <w:rPr>
          <w:sz w:val="28"/>
          <w:szCs w:val="28"/>
        </w:rPr>
        <w:t>2 có hiệu lực từ ngày 1/1/2022.</w:t>
      </w:r>
    </w:p>
    <w:p w:rsidR="00842E47" w:rsidRPr="005A02C6" w:rsidRDefault="00A45B29"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8</w:t>
      </w:r>
      <w:r w:rsidR="00842E47" w:rsidRPr="005A02C6">
        <w:rPr>
          <w:b/>
          <w:bCs/>
          <w:sz w:val="28"/>
          <w:szCs w:val="28"/>
          <w:bdr w:val="none" w:sz="0" w:space="0" w:color="auto" w:frame="1"/>
        </w:rPr>
        <w:t>. Xử phạt ô tô kinh doanh vận tải không lắp camera giám sát</w:t>
      </w:r>
    </w:p>
    <w:p w:rsidR="003D1D6E" w:rsidRPr="005A02C6" w:rsidRDefault="00842E47" w:rsidP="003D1D6E">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Theo Nghị quyết 66</w:t>
      </w:r>
      <w:r w:rsidR="005D4C3B">
        <w:rPr>
          <w:sz w:val="28"/>
          <w:szCs w:val="28"/>
        </w:rPr>
        <w:t>/NQ-CP ngày 01/7/2021 của Chính phủ</w:t>
      </w:r>
      <w:r w:rsidRPr="005A02C6">
        <w:rPr>
          <w:sz w:val="28"/>
          <w:szCs w:val="28"/>
        </w:rPr>
        <w:t xml:space="preserve">, bắt đầu từ ngày 1/1/2022, </w:t>
      </w:r>
      <w:r w:rsidR="003D1D6E" w:rsidRPr="005A02C6">
        <w:rPr>
          <w:sz w:val="28"/>
          <w:szCs w:val="28"/>
        </w:rPr>
        <w:t>ô tô kinh doanh vận tải gồm: taxi, xe khách, xe buýt, xe hợp đồng… bắt buộc phải lắp camera giám sát</w:t>
      </w:r>
      <w:r w:rsidR="003D1D6E">
        <w:rPr>
          <w:sz w:val="28"/>
          <w:szCs w:val="28"/>
        </w:rPr>
        <w:t>; trường hợp</w:t>
      </w:r>
      <w:r w:rsidRPr="005A02C6">
        <w:rPr>
          <w:sz w:val="28"/>
          <w:szCs w:val="28"/>
        </w:rPr>
        <w:t xml:space="preserve"> ô tô kinh doanh vận tải không lắp camera giám sát sẽ bị xử phạt</w:t>
      </w:r>
      <w:r w:rsidR="003D1D6E">
        <w:rPr>
          <w:sz w:val="28"/>
          <w:szCs w:val="28"/>
        </w:rPr>
        <w:t xml:space="preserve"> theo quy định tại Nghị định số 102/2020/NĐ-CP với mức</w:t>
      </w:r>
      <w:r w:rsidR="003D1D6E" w:rsidRPr="005A02C6">
        <w:rPr>
          <w:sz w:val="28"/>
          <w:szCs w:val="28"/>
        </w:rPr>
        <w:t xml:space="preserve"> phạt từ 1 - 2 triệu đồng.</w:t>
      </w:r>
    </w:p>
    <w:p w:rsidR="00842E47" w:rsidRPr="005A02C6" w:rsidRDefault="00842E47"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 xml:space="preserve">Đáng lẽ, quy định xử phạt nêu trên sẽ được áp dụng từ ngày 1/7/2021 theo </w:t>
      </w:r>
      <w:r w:rsidR="00B95455">
        <w:rPr>
          <w:sz w:val="28"/>
          <w:szCs w:val="28"/>
        </w:rPr>
        <w:t>Nghị định 102/202</w:t>
      </w:r>
      <w:r w:rsidR="00EC6231">
        <w:rPr>
          <w:sz w:val="28"/>
          <w:szCs w:val="28"/>
        </w:rPr>
        <w:t>0</w:t>
      </w:r>
      <w:r w:rsidR="00B95455">
        <w:rPr>
          <w:sz w:val="28"/>
          <w:szCs w:val="28"/>
        </w:rPr>
        <w:t>/NĐ-CP</w:t>
      </w:r>
      <w:r w:rsidRPr="005A02C6">
        <w:rPr>
          <w:sz w:val="28"/>
          <w:szCs w:val="28"/>
        </w:rPr>
        <w:t>, tuy nhiên sau đó Chính phủ tiếp tục ra Nghị quyết 66 tạm ngưng việc xử phạt nêu trên hết hết ngày 31/12/2021.</w:t>
      </w:r>
    </w:p>
    <w:p w:rsidR="00842E47" w:rsidRPr="00842E47" w:rsidRDefault="00A45B29" w:rsidP="00D913FD">
      <w:pPr>
        <w:spacing w:before="60" w:after="60" w:line="312" w:lineRule="auto"/>
        <w:ind w:firstLine="567"/>
        <w:jc w:val="both"/>
        <w:rPr>
          <w:rFonts w:ascii="Times New Roman" w:eastAsia="Times New Roman" w:hAnsi="Times New Roman" w:cs="Times New Roman"/>
          <w:sz w:val="28"/>
          <w:szCs w:val="28"/>
        </w:rPr>
      </w:pPr>
      <w:r w:rsidRPr="005A02C6">
        <w:rPr>
          <w:rFonts w:ascii="Times New Roman" w:eastAsia="Times New Roman" w:hAnsi="Times New Roman" w:cs="Times New Roman"/>
          <w:b/>
          <w:bCs/>
          <w:sz w:val="28"/>
          <w:szCs w:val="28"/>
        </w:rPr>
        <w:lastRenderedPageBreak/>
        <w:t xml:space="preserve">9. </w:t>
      </w:r>
      <w:r w:rsidR="00842E47" w:rsidRPr="005A02C6">
        <w:rPr>
          <w:rFonts w:ascii="Times New Roman" w:eastAsia="Times New Roman" w:hAnsi="Times New Roman" w:cs="Times New Roman"/>
          <w:b/>
          <w:bCs/>
          <w:sz w:val="28"/>
          <w:szCs w:val="28"/>
        </w:rPr>
        <w:t>Doanh nghiệp đưa lao động đi làm việc ở nước ngoài phải ký quỹ 2 tỷ đồng</w:t>
      </w:r>
    </w:p>
    <w:p w:rsidR="00842E47" w:rsidRPr="00842E47" w:rsidRDefault="00A45B29" w:rsidP="00D913FD">
      <w:pPr>
        <w:spacing w:before="60" w:after="60" w:line="312" w:lineRule="auto"/>
        <w:ind w:firstLine="567"/>
        <w:jc w:val="both"/>
        <w:rPr>
          <w:rFonts w:ascii="Times New Roman" w:eastAsia="Times New Roman" w:hAnsi="Times New Roman" w:cs="Times New Roman"/>
          <w:sz w:val="28"/>
          <w:szCs w:val="28"/>
        </w:rPr>
      </w:pPr>
      <w:r w:rsidRPr="005A02C6">
        <w:rPr>
          <w:rFonts w:ascii="Times New Roman" w:eastAsia="Times New Roman" w:hAnsi="Times New Roman" w:cs="Times New Roman"/>
          <w:sz w:val="28"/>
          <w:szCs w:val="28"/>
        </w:rPr>
        <w:t>C</w:t>
      </w:r>
      <w:r w:rsidR="00842E47" w:rsidRPr="00842E47">
        <w:rPr>
          <w:rFonts w:ascii="Times New Roman" w:eastAsia="Times New Roman" w:hAnsi="Times New Roman" w:cs="Times New Roman"/>
          <w:sz w:val="28"/>
          <w:szCs w:val="28"/>
        </w:rPr>
        <w:t>ó hiệu lực thi hành từ ngày 1/1/2022, Nghị định số 112</w:t>
      </w:r>
      <w:r w:rsidR="00A046DF">
        <w:rPr>
          <w:rFonts w:ascii="Times New Roman" w:eastAsia="Times New Roman" w:hAnsi="Times New Roman" w:cs="Times New Roman"/>
          <w:sz w:val="28"/>
          <w:szCs w:val="28"/>
        </w:rPr>
        <w:t>/2021/NĐ-CP</w:t>
      </w:r>
      <w:r w:rsidR="00842E47" w:rsidRPr="00842E47">
        <w:rPr>
          <w:rFonts w:ascii="Times New Roman" w:eastAsia="Times New Roman" w:hAnsi="Times New Roman" w:cs="Times New Roman"/>
          <w:sz w:val="28"/>
          <w:szCs w:val="28"/>
        </w:rPr>
        <w:t xml:space="preserve"> của Chính phủ </w:t>
      </w:r>
      <w:r w:rsidR="00A046DF">
        <w:rPr>
          <w:rFonts w:ascii="Times New Roman" w:eastAsia="Times New Roman" w:hAnsi="Times New Roman" w:cs="Times New Roman"/>
          <w:sz w:val="28"/>
          <w:szCs w:val="28"/>
        </w:rPr>
        <w:t>q</w:t>
      </w:r>
      <w:r w:rsidR="00A046DF" w:rsidRPr="00A046DF">
        <w:rPr>
          <w:rFonts w:ascii="Times New Roman" w:eastAsia="Times New Roman" w:hAnsi="Times New Roman" w:cs="Times New Roman"/>
          <w:sz w:val="28"/>
          <w:szCs w:val="28"/>
        </w:rPr>
        <w:t>uy định chi tiết một số điều và biện pháp thi hành Luật Người lao động Việt Nam đi làm việc ở nước ngoài theo hợp đồng</w:t>
      </w:r>
      <w:r w:rsidR="00842E47" w:rsidRPr="00842E47">
        <w:rPr>
          <w:rFonts w:ascii="Times New Roman" w:eastAsia="Times New Roman" w:hAnsi="Times New Roman" w:cs="Times New Roman"/>
          <w:sz w:val="28"/>
          <w:szCs w:val="28"/>
        </w:rPr>
        <w:t>quy định doanh nghiệp Việt Nam hoạt động dịch vụ đưa người lao động Việt Nam đi làm việc ở nước ngoài theo hợp đồng (doanh nghiệp dịch vụ) phải thực hiện ký quỹ 2 tỷ đồng tại một ngân hàng, chi nhánh ngân hàng nước ngoài được thành lập và hoạt động hợp pháp tại Việt Nam.</w:t>
      </w:r>
    </w:p>
    <w:p w:rsidR="00842E47" w:rsidRPr="00842E47" w:rsidRDefault="00842E47" w:rsidP="00D913FD">
      <w:pPr>
        <w:spacing w:before="60" w:after="60" w:line="312" w:lineRule="auto"/>
        <w:ind w:firstLine="567"/>
        <w:jc w:val="both"/>
        <w:rPr>
          <w:rFonts w:ascii="Times New Roman" w:eastAsia="Times New Roman" w:hAnsi="Times New Roman" w:cs="Times New Roman"/>
          <w:sz w:val="28"/>
          <w:szCs w:val="28"/>
        </w:rPr>
      </w:pPr>
      <w:r w:rsidRPr="00842E47">
        <w:rPr>
          <w:rFonts w:ascii="Times New Roman" w:eastAsia="Times New Roman" w:hAnsi="Times New Roman" w:cs="Times New Roman"/>
          <w:sz w:val="28"/>
          <w:szCs w:val="28"/>
        </w:rPr>
        <w:t>Đối với doanh nghiệp dịch vụ giao nhiệm vụ cho chi nhánh thực hiện hoạt động dịch vụ đưa người lao động Việt Nam đi làm việc ở nước ngoài theo hợp đồng phải ký quỹ thêm 500 triệu đồng đối với mỗi chi nhánh được giao nhiệm vụ.</w:t>
      </w:r>
    </w:p>
    <w:p w:rsidR="00842E47" w:rsidRPr="00842E47" w:rsidRDefault="00842E47" w:rsidP="00D913FD">
      <w:pPr>
        <w:spacing w:before="60" w:after="60" w:line="312" w:lineRule="auto"/>
        <w:ind w:firstLine="567"/>
        <w:jc w:val="both"/>
        <w:rPr>
          <w:rFonts w:ascii="Times New Roman" w:eastAsia="Times New Roman" w:hAnsi="Times New Roman" w:cs="Times New Roman"/>
          <w:sz w:val="28"/>
          <w:szCs w:val="28"/>
        </w:rPr>
      </w:pPr>
      <w:r w:rsidRPr="00842E47">
        <w:rPr>
          <w:rFonts w:ascii="Times New Roman" w:eastAsia="Times New Roman" w:hAnsi="Times New Roman" w:cs="Times New Roman"/>
          <w:sz w:val="28"/>
          <w:szCs w:val="28"/>
        </w:rPr>
        <w:t>Doanh nghiệp Việt Nam đưa người lao động Việt Nam đi đào tạo, nâng cao trình độ, kỹ năng nghề ở nước ngoài, phải thực hiện ký quỹ tại một ngân hàng, chi nhánh ngân hàng nước ngoài được thành lập và hoạt động hợp pháp tại Việt Nam.</w:t>
      </w:r>
    </w:p>
    <w:p w:rsidR="00DD58C6" w:rsidRPr="005A02C6" w:rsidRDefault="00A45B29"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10</w:t>
      </w:r>
      <w:r w:rsidR="00DD58C6" w:rsidRPr="005A02C6">
        <w:rPr>
          <w:b/>
          <w:bCs/>
          <w:sz w:val="28"/>
          <w:szCs w:val="28"/>
          <w:bdr w:val="none" w:sz="0" w:space="0" w:color="auto" w:frame="1"/>
        </w:rPr>
        <w:t>. Người dân có thể mở thẻ ngân hàng bằng hình thức online</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Từ ngày 1/1/2022, Thông tư số 17/2021/TT-NHNN quy định về hoạt động thẻ ngân hàng bắt đầu có hiệu lực.</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Theo đó, Ngân hàng Nhà nước đã ban hành Thông tư 17/2021/TT-NHNN ngày 16/11/2021 sửa đổi, bổ sung một số điều của Thông tư số 19/2016/TT-NHNN quy định về hoạt động thẻ ngân hàng; trong đó, bổ sung quy định: Tổ chức phát hành thẻ có thể thực hiện phát hành thẻ ghi nợ, thẻ tín dụng, thẻ trả trước định danh đối với chủ thẻ chính là cá nhân bằng phương thức điện tử.</w:t>
      </w:r>
    </w:p>
    <w:p w:rsidR="00DD58C6" w:rsidRPr="005A02C6" w:rsidRDefault="00A45B29"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11</w:t>
      </w:r>
      <w:r w:rsidR="00DD58C6" w:rsidRPr="005A02C6">
        <w:rPr>
          <w:b/>
          <w:bCs/>
          <w:sz w:val="28"/>
          <w:szCs w:val="28"/>
          <w:bdr w:val="none" w:sz="0" w:space="0" w:color="auto" w:frame="1"/>
        </w:rPr>
        <w:t>. Thu nhập dưới 2 triệu đồng/tháng ở thành phố được coi là nghèo</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Đây là nội dung của Nghị định 07/2021/NĐ-CP về chuẩn nghèo đa chiều, thay thế cho Quyết định 59 đã được ban hành từ năm 2015.</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Cụ thể, từ năm 2022, hộ gia đình có thu nhập bình quân đầu người/tháng từ 2 triệu đồng trở xuống ở thành thị và từ 1,5 triệu đồng trở xuống ở nông thôn; thiếu hụt 3 chỉ số đo lường mức độ thiếu hụt dịch vụ xã hội cơ bản trở lên được coi là hộ nghèo.</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lastRenderedPageBreak/>
        <w:t>Trước đây, ở thành thị, hộ gia đình phải có thu nhập bình quân đầu người/tháng từ đủ 900.000 đồng trở xuống; hoặc trên 900.000 đồng - 1,3 triệu đồng và thiếu hụt từ 3 chỉ số đo lường mức độ thiếu hụt tiếp cận các dịch vụ xã hội cơ bản trở lên thì mới được coi là hộ nghèo.</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Còn ở nông thôn, hộ có thu nhập bình quân đầu người/tháng từ đủ 700.000 đồng trở xuống; hoặc trên 700.000 đồng - 1 triệu đồng và thiếu hụt từ 3 chỉ số đo lường mức độ thiếu hụt tiếp cận các dịch vụ xã hội cơ bản trở lên.</w:t>
      </w:r>
    </w:p>
    <w:p w:rsidR="00DD58C6" w:rsidRPr="005A02C6" w:rsidRDefault="00A45B29"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12</w:t>
      </w:r>
      <w:r w:rsidR="00DD58C6" w:rsidRPr="005A02C6">
        <w:rPr>
          <w:b/>
          <w:bCs/>
          <w:sz w:val="28"/>
          <w:szCs w:val="28"/>
          <w:bdr w:val="none" w:sz="0" w:space="0" w:color="auto" w:frame="1"/>
        </w:rPr>
        <w:t>. Sửa đổi, bổ sung quy định giao nhận, bảo quản, vận chuyển tiền mặt</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Từ ngày 8/1/2022, Thông tư 19/2021/TT-NHNN quy định về giao nhận, bảo quản, vận chuyển tiền mặt, tài sản quý, giấy tờ có giá trị sẽ bắt đầu có hiệu lực.</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Theo đó, Ngân hàng Nhà nước đã ban hành Thông tư 19/2021/TT-NHNN ngày 24/11/2021 sửa đổi, bổ sung một số điều của Thông tư số 01/2014/TT-NHNN của Thống đốc Ngân hàng Nhà nước Việt Nam quy định về giao nhận, bảo quản, vận chuyển tiền mặt, tài sản quý, giấy tờ có giá trị.</w:t>
      </w:r>
    </w:p>
    <w:p w:rsidR="00DD58C6" w:rsidRPr="005A02C6" w:rsidRDefault="00A45B29"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13</w:t>
      </w:r>
      <w:r w:rsidR="00DD58C6" w:rsidRPr="005A02C6">
        <w:rPr>
          <w:b/>
          <w:bCs/>
          <w:sz w:val="28"/>
          <w:szCs w:val="28"/>
          <w:bdr w:val="none" w:sz="0" w:space="0" w:color="auto" w:frame="1"/>
        </w:rPr>
        <w:t>. Quy định mới về quản lý, bảo trì công trình hàng không</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Bộ Giao thông Vận tải đã ban hành Thông tư 24/2021/TT-BGTVT ngày 22/11/2021 quy định về quản lý, bảo trì công trình hàng không thay thế Thông tư số 48/2016/TT-BGTVT.</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Theo Thông tư, công trình hàng không sau khi đưa vào khai thác sử dụng phải được quản lý, khai thác và bảo trì theo quy định. Thời gian thực hiện quản lý và bảo trì được tính từ ngày nghiệm thu bàn giao đưa công trình vào khai thác sử dụng.</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Thông tư quy định, chi phí bảo trì công trình hàng không được thực hiện theo Điều 35 Nghị định số 06/2021/NĐ-CP; Thông tư số 14/2021/TT-BXD. Việc quản lý, sử dụng kinh phí bảo trì công trình hàng không thực hiện theo các quy định của pháp luật tương ứng nguồn vốn đảm bảo cho công tác bảo trì công trình hàng không.</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Thông tư này có hiệu lực thi hành kể từ ngày 15/1/2022.</w:t>
      </w:r>
    </w:p>
    <w:p w:rsidR="00DD58C6" w:rsidRPr="005A02C6" w:rsidRDefault="00A45B29"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b/>
          <w:bCs/>
          <w:sz w:val="28"/>
          <w:szCs w:val="28"/>
          <w:bdr w:val="none" w:sz="0" w:space="0" w:color="auto" w:frame="1"/>
        </w:rPr>
        <w:t>14</w:t>
      </w:r>
      <w:r w:rsidR="00DD58C6" w:rsidRPr="005A02C6">
        <w:rPr>
          <w:b/>
          <w:bCs/>
          <w:sz w:val="28"/>
          <w:szCs w:val="28"/>
          <w:bdr w:val="none" w:sz="0" w:space="0" w:color="auto" w:frame="1"/>
        </w:rPr>
        <w:t>. Quy định mới về quản lý, khai thác cảng hàng không, sân bay</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lastRenderedPageBreak/>
        <w:t>Bộ Giao thông Vận tải đã ban hành Thông tư số 29/2021/TT-BGTVT ngày 30/11/2021 quy định chi tiết về quản lý, khai thác cảng hàng không, sân bay. Thông tư này có hiệu lực thi hành kể từ ngày 15/1/2022.</w:t>
      </w:r>
    </w:p>
    <w:p w:rsidR="00DD58C6" w:rsidRPr="005A02C6" w:rsidRDefault="00DD58C6" w:rsidP="00D913FD">
      <w:pPr>
        <w:pStyle w:val="NormalWeb"/>
        <w:shd w:val="clear" w:color="auto" w:fill="FFFFFF"/>
        <w:spacing w:before="60" w:beforeAutospacing="0" w:after="60" w:afterAutospacing="0" w:line="312" w:lineRule="auto"/>
        <w:ind w:firstLine="567"/>
        <w:jc w:val="both"/>
        <w:textAlignment w:val="baseline"/>
        <w:rPr>
          <w:sz w:val="28"/>
          <w:szCs w:val="28"/>
        </w:rPr>
      </w:pPr>
      <w:r w:rsidRPr="005A02C6">
        <w:rPr>
          <w:sz w:val="28"/>
          <w:szCs w:val="28"/>
        </w:rPr>
        <w:t>Thông tư quy định, người khai thác cảng hàng không, sân bay phải cung cấp dịch vụ xe dẫn tàu bay yêu cầu của người khai thác tàu bay. Thông tư cũng quy định người khai thác cảng hàng không, sân bay có trách nhiệm chủ trì, phối hợp với cơ sở cung cấp dịch vụ bảo đảm hoạt động bay lập phương án vận hành tàu bay trên đường cất hạ cánh, đường lăn, sân đỗ tàu bay, cập nhật vào tài liệu khai thác sân bay, trừ trường hợp áp dụng tạm thời trong giai đoạn cải tạo, nâng cấp, sửa chữa công trình.</w:t>
      </w:r>
    </w:p>
    <w:p w:rsidR="00EF1839" w:rsidRPr="005A02C6" w:rsidRDefault="00F11624" w:rsidP="00F11624">
      <w:pPr>
        <w:pStyle w:val="NormalWeb"/>
        <w:shd w:val="clear" w:color="auto" w:fill="FFFFFF"/>
        <w:tabs>
          <w:tab w:val="left" w:pos="4080"/>
        </w:tabs>
        <w:spacing w:before="30" w:beforeAutospacing="0" w:after="30" w:afterAutospacing="0"/>
        <w:ind w:firstLine="709"/>
        <w:jc w:val="both"/>
        <w:rPr>
          <w:sz w:val="28"/>
          <w:szCs w:val="28"/>
        </w:rPr>
      </w:pPr>
      <w:r w:rsidRPr="005A02C6">
        <w:rPr>
          <w:sz w:val="28"/>
          <w:szCs w:val="28"/>
        </w:rPr>
        <w:tab/>
      </w:r>
    </w:p>
    <w:tbl>
      <w:tblPr>
        <w:tblW w:w="10184" w:type="dxa"/>
        <w:tblInd w:w="-432" w:type="dxa"/>
        <w:tblLook w:val="04A0"/>
      </w:tblPr>
      <w:tblGrid>
        <w:gridCol w:w="5092"/>
        <w:gridCol w:w="5092"/>
      </w:tblGrid>
      <w:tr w:rsidR="00EF1839" w:rsidRPr="00373C3B" w:rsidTr="00AE50FB">
        <w:tc>
          <w:tcPr>
            <w:tcW w:w="4643" w:type="dxa"/>
          </w:tcPr>
          <w:p w:rsidR="00EF1839" w:rsidRPr="00605103" w:rsidRDefault="00EF1839" w:rsidP="00AE50FB">
            <w:pPr>
              <w:spacing w:before="40" w:after="40" w:line="240" w:lineRule="auto"/>
              <w:jc w:val="center"/>
              <w:rPr>
                <w:rFonts w:ascii="Times New Roman" w:eastAsia="Times New Roman" w:hAnsi="Times New Roman" w:cs="Times New Roman"/>
                <w:b/>
                <w:bCs/>
                <w:color w:val="000000"/>
                <w:kern w:val="36"/>
                <w:sz w:val="24"/>
                <w:szCs w:val="24"/>
              </w:rPr>
            </w:pPr>
            <w:r w:rsidRPr="00605103">
              <w:rPr>
                <w:rFonts w:ascii="Times New Roman" w:eastAsia="Times New Roman" w:hAnsi="Times New Roman" w:cs="Times New Roman"/>
                <w:b/>
                <w:bCs/>
                <w:color w:val="000000"/>
                <w:kern w:val="36"/>
                <w:sz w:val="24"/>
                <w:szCs w:val="24"/>
              </w:rPr>
              <w:t>NGƯỜI VIẾT BÀI</w:t>
            </w:r>
          </w:p>
          <w:p w:rsidR="00EF1839" w:rsidRPr="00605103" w:rsidRDefault="00EF1839" w:rsidP="00AE50FB">
            <w:pPr>
              <w:spacing w:before="40" w:after="40" w:line="240" w:lineRule="auto"/>
              <w:jc w:val="center"/>
              <w:rPr>
                <w:rFonts w:ascii="Times New Roman" w:hAnsi="Times New Roman" w:cs="Times New Roman"/>
                <w:b/>
                <w:color w:val="000000"/>
                <w:sz w:val="26"/>
                <w:szCs w:val="26"/>
              </w:rPr>
            </w:pPr>
          </w:p>
          <w:p w:rsidR="00EF1839" w:rsidRPr="00605103" w:rsidRDefault="00EF1839" w:rsidP="00AE50FB">
            <w:pPr>
              <w:spacing w:before="40" w:after="40" w:line="240" w:lineRule="auto"/>
              <w:rPr>
                <w:rFonts w:ascii="Times New Roman" w:hAnsi="Times New Roman" w:cs="Times New Roman"/>
                <w:b/>
                <w:color w:val="000000"/>
                <w:sz w:val="26"/>
                <w:szCs w:val="26"/>
              </w:rPr>
            </w:pPr>
          </w:p>
          <w:p w:rsidR="00EF1839" w:rsidRDefault="00EF1839" w:rsidP="00AE50FB">
            <w:pPr>
              <w:spacing w:before="40" w:after="40" w:line="240" w:lineRule="auto"/>
              <w:jc w:val="center"/>
              <w:rPr>
                <w:rFonts w:ascii="Times New Roman" w:hAnsi="Times New Roman" w:cs="Times New Roman"/>
                <w:b/>
                <w:color w:val="000000"/>
                <w:sz w:val="26"/>
                <w:szCs w:val="26"/>
              </w:rPr>
            </w:pPr>
          </w:p>
          <w:p w:rsidR="00EF1839" w:rsidRPr="00605103" w:rsidRDefault="00EF1839" w:rsidP="00AE50FB">
            <w:pPr>
              <w:spacing w:before="40" w:after="40" w:line="240" w:lineRule="auto"/>
              <w:jc w:val="center"/>
              <w:rPr>
                <w:rFonts w:ascii="Times New Roman" w:hAnsi="Times New Roman" w:cs="Times New Roman"/>
                <w:b/>
                <w:color w:val="000000"/>
                <w:sz w:val="26"/>
                <w:szCs w:val="26"/>
              </w:rPr>
            </w:pPr>
          </w:p>
          <w:p w:rsidR="00EF1839" w:rsidRPr="00605103" w:rsidRDefault="00EF1839" w:rsidP="00AE50FB">
            <w:pPr>
              <w:spacing w:before="40" w:after="40" w:line="240" w:lineRule="auto"/>
              <w:jc w:val="center"/>
              <w:rPr>
                <w:rFonts w:ascii="Times New Roman" w:hAnsi="Times New Roman" w:cs="Times New Roman"/>
                <w:b/>
                <w:color w:val="000000"/>
                <w:sz w:val="28"/>
                <w:szCs w:val="28"/>
              </w:rPr>
            </w:pPr>
          </w:p>
          <w:p w:rsidR="00EF1839" w:rsidRPr="00605103" w:rsidRDefault="00EF1839" w:rsidP="00AE50FB">
            <w:pPr>
              <w:spacing w:before="40" w:after="40" w:line="240" w:lineRule="auto"/>
              <w:jc w:val="center"/>
              <w:rPr>
                <w:rFonts w:ascii="Times New Roman" w:hAnsi="Times New Roman" w:cs="Times New Roman"/>
                <w:b/>
                <w:color w:val="000000"/>
                <w:sz w:val="26"/>
                <w:szCs w:val="26"/>
              </w:rPr>
            </w:pPr>
            <w:r w:rsidRPr="00605103">
              <w:rPr>
                <w:rFonts w:ascii="Times New Roman" w:hAnsi="Times New Roman" w:cs="Times New Roman"/>
                <w:b/>
                <w:color w:val="000000"/>
                <w:sz w:val="28"/>
                <w:szCs w:val="28"/>
              </w:rPr>
              <w:t>Nguyễn Xuân Tào</w:t>
            </w:r>
          </w:p>
        </w:tc>
        <w:tc>
          <w:tcPr>
            <w:tcW w:w="4643" w:type="dxa"/>
          </w:tcPr>
          <w:p w:rsidR="00EF1839" w:rsidRPr="00605103" w:rsidRDefault="00EF1839" w:rsidP="00AE50FB">
            <w:pPr>
              <w:spacing w:before="40" w:after="40" w:line="240" w:lineRule="auto"/>
              <w:jc w:val="center"/>
              <w:rPr>
                <w:rFonts w:ascii="Times New Roman" w:hAnsi="Times New Roman" w:cs="Times New Roman"/>
                <w:b/>
                <w:color w:val="000000"/>
                <w:sz w:val="24"/>
                <w:szCs w:val="24"/>
              </w:rPr>
            </w:pPr>
            <w:r w:rsidRPr="00605103">
              <w:rPr>
                <w:rFonts w:ascii="Times New Roman" w:hAnsi="Times New Roman" w:cs="Times New Roman"/>
                <w:b/>
                <w:color w:val="000000"/>
                <w:sz w:val="24"/>
                <w:szCs w:val="24"/>
              </w:rPr>
              <w:t>DUYỆT CỦA BAN BIÊN TẬP</w:t>
            </w:r>
          </w:p>
          <w:p w:rsidR="00EF1839" w:rsidRPr="00605103" w:rsidRDefault="00EF1839" w:rsidP="00AE50FB">
            <w:pPr>
              <w:spacing w:before="40" w:after="40" w:line="240" w:lineRule="auto"/>
              <w:jc w:val="center"/>
              <w:rPr>
                <w:rFonts w:ascii="Times New Roman" w:hAnsi="Times New Roman" w:cs="Times New Roman"/>
                <w:b/>
                <w:color w:val="000000"/>
                <w:sz w:val="24"/>
                <w:szCs w:val="24"/>
              </w:rPr>
            </w:pPr>
          </w:p>
          <w:p w:rsidR="00EF1839" w:rsidRPr="00605103" w:rsidRDefault="00EF1839" w:rsidP="00AE50FB">
            <w:pPr>
              <w:spacing w:before="40" w:after="40" w:line="240" w:lineRule="auto"/>
              <w:jc w:val="center"/>
              <w:rPr>
                <w:rFonts w:ascii="Times New Roman" w:hAnsi="Times New Roman" w:cs="Times New Roman"/>
                <w:b/>
                <w:color w:val="000000"/>
                <w:sz w:val="24"/>
                <w:szCs w:val="24"/>
              </w:rPr>
            </w:pPr>
          </w:p>
          <w:p w:rsidR="00EF1839" w:rsidRPr="00605103" w:rsidRDefault="00EF1839" w:rsidP="00AE50FB">
            <w:pPr>
              <w:spacing w:before="40" w:after="40" w:line="240" w:lineRule="auto"/>
              <w:jc w:val="center"/>
              <w:rPr>
                <w:rFonts w:ascii="Times New Roman" w:hAnsi="Times New Roman" w:cs="Times New Roman"/>
                <w:b/>
                <w:color w:val="000000"/>
                <w:sz w:val="24"/>
                <w:szCs w:val="24"/>
              </w:rPr>
            </w:pPr>
          </w:p>
          <w:p w:rsidR="00EF1839" w:rsidRPr="00605103" w:rsidRDefault="00EF1839" w:rsidP="00AE50FB">
            <w:pPr>
              <w:spacing w:before="40" w:after="40" w:line="240" w:lineRule="auto"/>
              <w:rPr>
                <w:rFonts w:ascii="Times New Roman" w:hAnsi="Times New Roman" w:cs="Times New Roman"/>
                <w:b/>
                <w:color w:val="000000"/>
                <w:sz w:val="24"/>
                <w:szCs w:val="24"/>
              </w:rPr>
            </w:pPr>
          </w:p>
          <w:p w:rsidR="00EF1839" w:rsidRPr="00605103" w:rsidRDefault="00EF1839" w:rsidP="00AE50FB">
            <w:pPr>
              <w:spacing w:before="40" w:after="40" w:line="240" w:lineRule="auto"/>
              <w:jc w:val="center"/>
              <w:rPr>
                <w:rFonts w:ascii="Times New Roman" w:hAnsi="Times New Roman" w:cs="Times New Roman"/>
                <w:b/>
                <w:color w:val="000000"/>
                <w:sz w:val="24"/>
                <w:szCs w:val="24"/>
              </w:rPr>
            </w:pPr>
          </w:p>
          <w:p w:rsidR="00EF1839" w:rsidRPr="00605103" w:rsidRDefault="00EF1839" w:rsidP="00AE50FB">
            <w:pPr>
              <w:spacing w:before="40" w:after="40" w:line="240" w:lineRule="auto"/>
              <w:jc w:val="center"/>
              <w:rPr>
                <w:rFonts w:ascii="Times New Roman" w:hAnsi="Times New Roman" w:cs="Times New Roman"/>
                <w:b/>
                <w:color w:val="000000"/>
                <w:sz w:val="28"/>
                <w:szCs w:val="28"/>
              </w:rPr>
            </w:pPr>
            <w:r w:rsidRPr="00605103">
              <w:rPr>
                <w:rFonts w:ascii="Times New Roman" w:hAnsi="Times New Roman" w:cs="Times New Roman"/>
                <w:b/>
                <w:color w:val="000000"/>
                <w:sz w:val="28"/>
                <w:szCs w:val="28"/>
              </w:rPr>
              <w:t>Võ Tiến Sửu</w:t>
            </w:r>
          </w:p>
        </w:tc>
      </w:tr>
    </w:tbl>
    <w:p w:rsidR="000E3247" w:rsidRPr="005A02C6" w:rsidRDefault="000E3247" w:rsidP="00F11624">
      <w:pPr>
        <w:pStyle w:val="NormalWeb"/>
        <w:shd w:val="clear" w:color="auto" w:fill="FFFFFF"/>
        <w:tabs>
          <w:tab w:val="left" w:pos="4080"/>
        </w:tabs>
        <w:spacing w:before="30" w:beforeAutospacing="0" w:after="30" w:afterAutospacing="0"/>
        <w:ind w:firstLine="709"/>
        <w:jc w:val="both"/>
        <w:rPr>
          <w:sz w:val="28"/>
          <w:szCs w:val="28"/>
        </w:rPr>
      </w:pPr>
    </w:p>
    <w:p w:rsidR="00350C68" w:rsidRPr="005A02C6" w:rsidRDefault="00350C68" w:rsidP="00E0194E">
      <w:pPr>
        <w:pStyle w:val="NormalWeb"/>
        <w:spacing w:before="30" w:beforeAutospacing="0" w:after="30" w:afterAutospacing="0"/>
        <w:ind w:firstLine="3402"/>
        <w:jc w:val="both"/>
        <w:rPr>
          <w:b/>
          <w:sz w:val="28"/>
          <w:szCs w:val="28"/>
        </w:rPr>
      </w:pPr>
    </w:p>
    <w:p w:rsidR="00363F76" w:rsidRPr="005A02C6" w:rsidRDefault="00363F76" w:rsidP="00E0194E">
      <w:pPr>
        <w:pStyle w:val="NormalWeb"/>
        <w:shd w:val="clear" w:color="auto" w:fill="FFFFFF"/>
        <w:spacing w:before="30" w:beforeAutospacing="0" w:after="30" w:afterAutospacing="0"/>
        <w:ind w:firstLine="567"/>
        <w:jc w:val="both"/>
        <w:rPr>
          <w:sz w:val="28"/>
          <w:szCs w:val="28"/>
        </w:rPr>
      </w:pPr>
    </w:p>
    <w:p w:rsidR="00363F76" w:rsidRPr="005A02C6" w:rsidRDefault="00363F76" w:rsidP="00E0194E">
      <w:pPr>
        <w:pStyle w:val="NormalWeb"/>
        <w:shd w:val="clear" w:color="auto" w:fill="FFFFFF"/>
        <w:spacing w:before="30" w:beforeAutospacing="0" w:after="30" w:afterAutospacing="0"/>
        <w:ind w:firstLine="567"/>
        <w:jc w:val="both"/>
        <w:rPr>
          <w:sz w:val="28"/>
          <w:szCs w:val="28"/>
        </w:rPr>
      </w:pPr>
    </w:p>
    <w:p w:rsidR="00F35DA2" w:rsidRPr="005A02C6" w:rsidRDefault="00F35DA2" w:rsidP="00F11624">
      <w:pPr>
        <w:spacing w:before="30" w:after="30" w:line="240" w:lineRule="auto"/>
        <w:jc w:val="both"/>
        <w:rPr>
          <w:rFonts w:ascii="Times New Roman" w:hAnsi="Times New Roman" w:cs="Times New Roman"/>
          <w:sz w:val="28"/>
          <w:szCs w:val="28"/>
        </w:rPr>
      </w:pPr>
    </w:p>
    <w:sectPr w:rsidR="00F35DA2" w:rsidRPr="005A02C6" w:rsidSect="00F11624">
      <w:footerReference w:type="default" r:id="rId14"/>
      <w:pgSz w:w="11909" w:h="16834"/>
      <w:pgMar w:top="1134" w:right="1134" w:bottom="993" w:left="1701" w:header="720" w:footer="41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D17" w:rsidRDefault="00D54D17" w:rsidP="00E51A05">
      <w:pPr>
        <w:spacing w:after="0" w:line="240" w:lineRule="auto"/>
      </w:pPr>
      <w:r>
        <w:separator/>
      </w:r>
    </w:p>
  </w:endnote>
  <w:endnote w:type="continuationSeparator" w:id="1">
    <w:p w:rsidR="00D54D17" w:rsidRDefault="00D54D17" w:rsidP="00E51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117247"/>
      <w:docPartObj>
        <w:docPartGallery w:val="Page Numbers (Bottom of Page)"/>
        <w:docPartUnique/>
      </w:docPartObj>
    </w:sdtPr>
    <w:sdtEndPr>
      <w:rPr>
        <w:rFonts w:ascii="Times New Roman" w:hAnsi="Times New Roman" w:cs="Times New Roman"/>
        <w:noProof/>
        <w:sz w:val="26"/>
        <w:szCs w:val="26"/>
      </w:rPr>
    </w:sdtEndPr>
    <w:sdtContent>
      <w:p w:rsidR="00C53302" w:rsidRPr="00E51A05" w:rsidRDefault="0003786F">
        <w:pPr>
          <w:pStyle w:val="Footer"/>
          <w:jc w:val="center"/>
          <w:rPr>
            <w:rFonts w:ascii="Times New Roman" w:hAnsi="Times New Roman" w:cs="Times New Roman"/>
            <w:sz w:val="26"/>
            <w:szCs w:val="26"/>
          </w:rPr>
        </w:pPr>
        <w:r w:rsidRPr="00E51A05">
          <w:rPr>
            <w:rFonts w:ascii="Times New Roman" w:hAnsi="Times New Roman" w:cs="Times New Roman"/>
            <w:sz w:val="26"/>
            <w:szCs w:val="26"/>
          </w:rPr>
          <w:fldChar w:fldCharType="begin"/>
        </w:r>
        <w:r w:rsidR="00C53302" w:rsidRPr="00E51A05">
          <w:rPr>
            <w:rFonts w:ascii="Times New Roman" w:hAnsi="Times New Roman" w:cs="Times New Roman"/>
            <w:sz w:val="26"/>
            <w:szCs w:val="26"/>
          </w:rPr>
          <w:instrText xml:space="preserve"> PAGE   \* MERGEFORMAT </w:instrText>
        </w:r>
        <w:r w:rsidRPr="00E51A05">
          <w:rPr>
            <w:rFonts w:ascii="Times New Roman" w:hAnsi="Times New Roman" w:cs="Times New Roman"/>
            <w:sz w:val="26"/>
            <w:szCs w:val="26"/>
          </w:rPr>
          <w:fldChar w:fldCharType="separate"/>
        </w:r>
        <w:r w:rsidR="00EF1839">
          <w:rPr>
            <w:rFonts w:ascii="Times New Roman" w:hAnsi="Times New Roman" w:cs="Times New Roman"/>
            <w:noProof/>
            <w:sz w:val="26"/>
            <w:szCs w:val="26"/>
          </w:rPr>
          <w:t>2</w:t>
        </w:r>
        <w:r w:rsidRPr="00E51A05">
          <w:rPr>
            <w:rFonts w:ascii="Times New Roman" w:hAnsi="Times New Roman" w:cs="Times New Roman"/>
            <w:noProof/>
            <w:sz w:val="26"/>
            <w:szCs w:val="26"/>
          </w:rPr>
          <w:fldChar w:fldCharType="end"/>
        </w:r>
      </w:p>
    </w:sdtContent>
  </w:sdt>
  <w:p w:rsidR="00C53302" w:rsidRDefault="00C53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D17" w:rsidRDefault="00D54D17" w:rsidP="00E51A05">
      <w:pPr>
        <w:spacing w:after="0" w:line="240" w:lineRule="auto"/>
      </w:pPr>
      <w:r>
        <w:separator/>
      </w:r>
    </w:p>
  </w:footnote>
  <w:footnote w:type="continuationSeparator" w:id="1">
    <w:p w:rsidR="00D54D17" w:rsidRDefault="00D54D17" w:rsidP="00E51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01419"/>
    <w:multiLevelType w:val="multilevel"/>
    <w:tmpl w:val="57E6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011DB"/>
    <w:rsid w:val="000019B4"/>
    <w:rsid w:val="000044AC"/>
    <w:rsid w:val="00007169"/>
    <w:rsid w:val="00014750"/>
    <w:rsid w:val="00024DAA"/>
    <w:rsid w:val="00035B4D"/>
    <w:rsid w:val="00036CB1"/>
    <w:rsid w:val="0003786F"/>
    <w:rsid w:val="00057AE8"/>
    <w:rsid w:val="000631B9"/>
    <w:rsid w:val="0006359D"/>
    <w:rsid w:val="00085E80"/>
    <w:rsid w:val="000937C4"/>
    <w:rsid w:val="000E3247"/>
    <w:rsid w:val="0010332D"/>
    <w:rsid w:val="00111ED1"/>
    <w:rsid w:val="001156BE"/>
    <w:rsid w:val="00130507"/>
    <w:rsid w:val="00130FF9"/>
    <w:rsid w:val="00142112"/>
    <w:rsid w:val="00153334"/>
    <w:rsid w:val="0016261C"/>
    <w:rsid w:val="00184D4C"/>
    <w:rsid w:val="001A63F7"/>
    <w:rsid w:val="001D3F46"/>
    <w:rsid w:val="001E337B"/>
    <w:rsid w:val="00211B25"/>
    <w:rsid w:val="00215365"/>
    <w:rsid w:val="00217C95"/>
    <w:rsid w:val="00277905"/>
    <w:rsid w:val="002946D7"/>
    <w:rsid w:val="00296839"/>
    <w:rsid w:val="002C0D40"/>
    <w:rsid w:val="002C0D8B"/>
    <w:rsid w:val="002C3742"/>
    <w:rsid w:val="002D0F7C"/>
    <w:rsid w:val="002D2E62"/>
    <w:rsid w:val="00306A0F"/>
    <w:rsid w:val="00350C68"/>
    <w:rsid w:val="00357C35"/>
    <w:rsid w:val="00363F76"/>
    <w:rsid w:val="0037712B"/>
    <w:rsid w:val="003A455C"/>
    <w:rsid w:val="003B5D04"/>
    <w:rsid w:val="003C2751"/>
    <w:rsid w:val="003D1D6E"/>
    <w:rsid w:val="003E0F68"/>
    <w:rsid w:val="003F1676"/>
    <w:rsid w:val="003F17D0"/>
    <w:rsid w:val="00404602"/>
    <w:rsid w:val="004216B8"/>
    <w:rsid w:val="004262EC"/>
    <w:rsid w:val="00430864"/>
    <w:rsid w:val="0043329A"/>
    <w:rsid w:val="0045546B"/>
    <w:rsid w:val="0046290D"/>
    <w:rsid w:val="004923DD"/>
    <w:rsid w:val="004959E1"/>
    <w:rsid w:val="004A648B"/>
    <w:rsid w:val="004A7712"/>
    <w:rsid w:val="004D0C74"/>
    <w:rsid w:val="004D2F0D"/>
    <w:rsid w:val="004E5CD8"/>
    <w:rsid w:val="004E7A40"/>
    <w:rsid w:val="00537129"/>
    <w:rsid w:val="0054431C"/>
    <w:rsid w:val="00546434"/>
    <w:rsid w:val="00567EA7"/>
    <w:rsid w:val="005702D6"/>
    <w:rsid w:val="005732AB"/>
    <w:rsid w:val="00576301"/>
    <w:rsid w:val="0057651C"/>
    <w:rsid w:val="00580606"/>
    <w:rsid w:val="005818EA"/>
    <w:rsid w:val="005A02C6"/>
    <w:rsid w:val="005A1A2B"/>
    <w:rsid w:val="005B0D43"/>
    <w:rsid w:val="005B5FC7"/>
    <w:rsid w:val="005C3A0C"/>
    <w:rsid w:val="005D4C3B"/>
    <w:rsid w:val="005D6261"/>
    <w:rsid w:val="00601C36"/>
    <w:rsid w:val="00602DB1"/>
    <w:rsid w:val="006449DA"/>
    <w:rsid w:val="00655140"/>
    <w:rsid w:val="00673ECA"/>
    <w:rsid w:val="006973C0"/>
    <w:rsid w:val="006E07F7"/>
    <w:rsid w:val="007170AC"/>
    <w:rsid w:val="00726EC1"/>
    <w:rsid w:val="00730465"/>
    <w:rsid w:val="00763258"/>
    <w:rsid w:val="007662C0"/>
    <w:rsid w:val="00781C57"/>
    <w:rsid w:val="0079754B"/>
    <w:rsid w:val="007A6A77"/>
    <w:rsid w:val="007B6E88"/>
    <w:rsid w:val="007C35AB"/>
    <w:rsid w:val="007D6E39"/>
    <w:rsid w:val="007E1918"/>
    <w:rsid w:val="007F4F30"/>
    <w:rsid w:val="008032AA"/>
    <w:rsid w:val="008148F2"/>
    <w:rsid w:val="00817762"/>
    <w:rsid w:val="00842E47"/>
    <w:rsid w:val="0085780D"/>
    <w:rsid w:val="00865486"/>
    <w:rsid w:val="00881B4D"/>
    <w:rsid w:val="00882E5B"/>
    <w:rsid w:val="00883EB4"/>
    <w:rsid w:val="008A428F"/>
    <w:rsid w:val="008B2B41"/>
    <w:rsid w:val="008B45E0"/>
    <w:rsid w:val="008E019A"/>
    <w:rsid w:val="00901085"/>
    <w:rsid w:val="009042D3"/>
    <w:rsid w:val="00921783"/>
    <w:rsid w:val="00964862"/>
    <w:rsid w:val="0096611C"/>
    <w:rsid w:val="009661E4"/>
    <w:rsid w:val="00973434"/>
    <w:rsid w:val="009760A5"/>
    <w:rsid w:val="00986CBE"/>
    <w:rsid w:val="009901B2"/>
    <w:rsid w:val="00991F9D"/>
    <w:rsid w:val="0099375E"/>
    <w:rsid w:val="009C690B"/>
    <w:rsid w:val="009E3C4A"/>
    <w:rsid w:val="009E4BB1"/>
    <w:rsid w:val="00A00456"/>
    <w:rsid w:val="00A014FC"/>
    <w:rsid w:val="00A03D98"/>
    <w:rsid w:val="00A046DF"/>
    <w:rsid w:val="00A15A5A"/>
    <w:rsid w:val="00A45B29"/>
    <w:rsid w:val="00AB3268"/>
    <w:rsid w:val="00AC1663"/>
    <w:rsid w:val="00AD2A44"/>
    <w:rsid w:val="00AF5898"/>
    <w:rsid w:val="00B173C3"/>
    <w:rsid w:val="00B50B88"/>
    <w:rsid w:val="00B6388F"/>
    <w:rsid w:val="00B75918"/>
    <w:rsid w:val="00B95455"/>
    <w:rsid w:val="00B96D6E"/>
    <w:rsid w:val="00BC0B5A"/>
    <w:rsid w:val="00BC4A4F"/>
    <w:rsid w:val="00BD157C"/>
    <w:rsid w:val="00BD2AEE"/>
    <w:rsid w:val="00C011DB"/>
    <w:rsid w:val="00C31845"/>
    <w:rsid w:val="00C46A60"/>
    <w:rsid w:val="00C53302"/>
    <w:rsid w:val="00C60EE3"/>
    <w:rsid w:val="00C67581"/>
    <w:rsid w:val="00C67728"/>
    <w:rsid w:val="00C835A2"/>
    <w:rsid w:val="00C86120"/>
    <w:rsid w:val="00C90814"/>
    <w:rsid w:val="00CA6BDC"/>
    <w:rsid w:val="00CE5254"/>
    <w:rsid w:val="00CF0511"/>
    <w:rsid w:val="00CF465B"/>
    <w:rsid w:val="00D237FC"/>
    <w:rsid w:val="00D2577A"/>
    <w:rsid w:val="00D54D17"/>
    <w:rsid w:val="00D7528F"/>
    <w:rsid w:val="00D80B32"/>
    <w:rsid w:val="00D8621F"/>
    <w:rsid w:val="00D913FD"/>
    <w:rsid w:val="00DB70D6"/>
    <w:rsid w:val="00DC7871"/>
    <w:rsid w:val="00DD4A00"/>
    <w:rsid w:val="00DD58C6"/>
    <w:rsid w:val="00DD67F6"/>
    <w:rsid w:val="00DD6CF7"/>
    <w:rsid w:val="00DE4AAD"/>
    <w:rsid w:val="00DE4F52"/>
    <w:rsid w:val="00E0194E"/>
    <w:rsid w:val="00E353B3"/>
    <w:rsid w:val="00E51A05"/>
    <w:rsid w:val="00E657C7"/>
    <w:rsid w:val="00E86BA6"/>
    <w:rsid w:val="00E9087F"/>
    <w:rsid w:val="00EB745E"/>
    <w:rsid w:val="00EB7FF0"/>
    <w:rsid w:val="00EC6231"/>
    <w:rsid w:val="00EC748A"/>
    <w:rsid w:val="00EF1839"/>
    <w:rsid w:val="00F00193"/>
    <w:rsid w:val="00F016A0"/>
    <w:rsid w:val="00F074B1"/>
    <w:rsid w:val="00F11624"/>
    <w:rsid w:val="00F13FA1"/>
    <w:rsid w:val="00F27FC3"/>
    <w:rsid w:val="00F35DA2"/>
    <w:rsid w:val="00F70DAA"/>
    <w:rsid w:val="00F71233"/>
    <w:rsid w:val="00F73A09"/>
    <w:rsid w:val="00F8564C"/>
    <w:rsid w:val="00FA442D"/>
    <w:rsid w:val="00FB63B9"/>
    <w:rsid w:val="00FB67EF"/>
    <w:rsid w:val="00FC4659"/>
    <w:rsid w:val="00FD3289"/>
    <w:rsid w:val="00FD3D9B"/>
    <w:rsid w:val="00FD5258"/>
    <w:rsid w:val="00FE014B"/>
    <w:rsid w:val="00FE6D96"/>
    <w:rsid w:val="00FF6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6F"/>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paragraph" w:customStyle="1" w:styleId="vnbnnidung0">
    <w:name w:val="vnbnnidung0"/>
    <w:basedOn w:val="Normal"/>
    <w:rsid w:val="00D91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nbnnidung"/>
    <w:basedOn w:val="DefaultParagraphFont"/>
    <w:rsid w:val="00D91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paragraph" w:customStyle="1" w:styleId="vnbnnidung0">
    <w:name w:val="vnbnnidung0"/>
    <w:basedOn w:val="Normal"/>
    <w:rsid w:val="00D91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nbnnidung"/>
    <w:basedOn w:val="DefaultParagraphFont"/>
    <w:rsid w:val="00D913FD"/>
  </w:style>
</w:styles>
</file>

<file path=word/webSettings.xml><?xml version="1.0" encoding="utf-8"?>
<w:webSettings xmlns:r="http://schemas.openxmlformats.org/officeDocument/2006/relationships" xmlns:w="http://schemas.openxmlformats.org/wordprocessingml/2006/main">
  <w:divs>
    <w:div w:id="86931226">
      <w:bodyDiv w:val="1"/>
      <w:marLeft w:val="0"/>
      <w:marRight w:val="0"/>
      <w:marTop w:val="0"/>
      <w:marBottom w:val="0"/>
      <w:divBdr>
        <w:top w:val="none" w:sz="0" w:space="0" w:color="auto"/>
        <w:left w:val="none" w:sz="0" w:space="0" w:color="auto"/>
        <w:bottom w:val="none" w:sz="0" w:space="0" w:color="auto"/>
        <w:right w:val="none" w:sz="0" w:space="0" w:color="auto"/>
      </w:divBdr>
    </w:div>
    <w:div w:id="115031981">
      <w:bodyDiv w:val="1"/>
      <w:marLeft w:val="0"/>
      <w:marRight w:val="0"/>
      <w:marTop w:val="0"/>
      <w:marBottom w:val="0"/>
      <w:divBdr>
        <w:top w:val="none" w:sz="0" w:space="0" w:color="auto"/>
        <w:left w:val="none" w:sz="0" w:space="0" w:color="auto"/>
        <w:bottom w:val="none" w:sz="0" w:space="0" w:color="auto"/>
        <w:right w:val="none" w:sz="0" w:space="0" w:color="auto"/>
      </w:divBdr>
      <w:divsChild>
        <w:div w:id="221596844">
          <w:marLeft w:val="0"/>
          <w:marRight w:val="0"/>
          <w:marTop w:val="0"/>
          <w:marBottom w:val="0"/>
          <w:divBdr>
            <w:top w:val="none" w:sz="0" w:space="0" w:color="auto"/>
            <w:left w:val="none" w:sz="0" w:space="0" w:color="auto"/>
            <w:bottom w:val="none" w:sz="0" w:space="0" w:color="auto"/>
            <w:right w:val="none" w:sz="0" w:space="0" w:color="auto"/>
          </w:divBdr>
          <w:divsChild>
            <w:div w:id="151340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131244">
      <w:bodyDiv w:val="1"/>
      <w:marLeft w:val="0"/>
      <w:marRight w:val="0"/>
      <w:marTop w:val="0"/>
      <w:marBottom w:val="0"/>
      <w:divBdr>
        <w:top w:val="none" w:sz="0" w:space="0" w:color="auto"/>
        <w:left w:val="none" w:sz="0" w:space="0" w:color="auto"/>
        <w:bottom w:val="none" w:sz="0" w:space="0" w:color="auto"/>
        <w:right w:val="none" w:sz="0" w:space="0" w:color="auto"/>
      </w:divBdr>
    </w:div>
    <w:div w:id="397286297">
      <w:bodyDiv w:val="1"/>
      <w:marLeft w:val="0"/>
      <w:marRight w:val="0"/>
      <w:marTop w:val="0"/>
      <w:marBottom w:val="0"/>
      <w:divBdr>
        <w:top w:val="none" w:sz="0" w:space="0" w:color="auto"/>
        <w:left w:val="none" w:sz="0" w:space="0" w:color="auto"/>
        <w:bottom w:val="none" w:sz="0" w:space="0" w:color="auto"/>
        <w:right w:val="none" w:sz="0" w:space="0" w:color="auto"/>
      </w:divBdr>
    </w:div>
    <w:div w:id="441655649">
      <w:bodyDiv w:val="1"/>
      <w:marLeft w:val="0"/>
      <w:marRight w:val="0"/>
      <w:marTop w:val="0"/>
      <w:marBottom w:val="0"/>
      <w:divBdr>
        <w:top w:val="none" w:sz="0" w:space="0" w:color="auto"/>
        <w:left w:val="none" w:sz="0" w:space="0" w:color="auto"/>
        <w:bottom w:val="none" w:sz="0" w:space="0" w:color="auto"/>
        <w:right w:val="none" w:sz="0" w:space="0" w:color="auto"/>
      </w:divBdr>
    </w:div>
    <w:div w:id="635721750">
      <w:bodyDiv w:val="1"/>
      <w:marLeft w:val="0"/>
      <w:marRight w:val="0"/>
      <w:marTop w:val="0"/>
      <w:marBottom w:val="0"/>
      <w:divBdr>
        <w:top w:val="none" w:sz="0" w:space="0" w:color="auto"/>
        <w:left w:val="none" w:sz="0" w:space="0" w:color="auto"/>
        <w:bottom w:val="none" w:sz="0" w:space="0" w:color="auto"/>
        <w:right w:val="none" w:sz="0" w:space="0" w:color="auto"/>
      </w:divBdr>
    </w:div>
    <w:div w:id="651643416">
      <w:bodyDiv w:val="1"/>
      <w:marLeft w:val="0"/>
      <w:marRight w:val="0"/>
      <w:marTop w:val="0"/>
      <w:marBottom w:val="0"/>
      <w:divBdr>
        <w:top w:val="none" w:sz="0" w:space="0" w:color="auto"/>
        <w:left w:val="none" w:sz="0" w:space="0" w:color="auto"/>
        <w:bottom w:val="none" w:sz="0" w:space="0" w:color="auto"/>
        <w:right w:val="none" w:sz="0" w:space="0" w:color="auto"/>
      </w:divBdr>
      <w:divsChild>
        <w:div w:id="2093549827">
          <w:marLeft w:val="0"/>
          <w:marRight w:val="0"/>
          <w:marTop w:val="0"/>
          <w:marBottom w:val="225"/>
          <w:divBdr>
            <w:top w:val="none" w:sz="0" w:space="0" w:color="auto"/>
            <w:left w:val="none" w:sz="0" w:space="0" w:color="auto"/>
            <w:bottom w:val="none" w:sz="0" w:space="0" w:color="auto"/>
            <w:right w:val="none" w:sz="0" w:space="0" w:color="auto"/>
          </w:divBdr>
        </w:div>
        <w:div w:id="954290845">
          <w:marLeft w:val="0"/>
          <w:marRight w:val="0"/>
          <w:marTop w:val="0"/>
          <w:marBottom w:val="225"/>
          <w:divBdr>
            <w:top w:val="none" w:sz="0" w:space="0" w:color="auto"/>
            <w:left w:val="none" w:sz="0" w:space="0" w:color="auto"/>
            <w:bottom w:val="none" w:sz="0" w:space="0" w:color="auto"/>
            <w:right w:val="none" w:sz="0" w:space="0" w:color="auto"/>
          </w:divBdr>
        </w:div>
        <w:div w:id="1934052971">
          <w:marLeft w:val="0"/>
          <w:marRight w:val="0"/>
          <w:marTop w:val="0"/>
          <w:marBottom w:val="225"/>
          <w:divBdr>
            <w:top w:val="none" w:sz="0" w:space="0" w:color="auto"/>
            <w:left w:val="none" w:sz="0" w:space="0" w:color="auto"/>
            <w:bottom w:val="none" w:sz="0" w:space="0" w:color="auto"/>
            <w:right w:val="none" w:sz="0" w:space="0" w:color="auto"/>
          </w:divBdr>
        </w:div>
        <w:div w:id="2071415667">
          <w:marLeft w:val="0"/>
          <w:marRight w:val="0"/>
          <w:marTop w:val="0"/>
          <w:marBottom w:val="225"/>
          <w:divBdr>
            <w:top w:val="none" w:sz="0" w:space="0" w:color="auto"/>
            <w:left w:val="none" w:sz="0" w:space="0" w:color="auto"/>
            <w:bottom w:val="none" w:sz="0" w:space="0" w:color="auto"/>
            <w:right w:val="none" w:sz="0" w:space="0" w:color="auto"/>
          </w:divBdr>
        </w:div>
        <w:div w:id="274559992">
          <w:marLeft w:val="0"/>
          <w:marRight w:val="0"/>
          <w:marTop w:val="0"/>
          <w:marBottom w:val="225"/>
          <w:divBdr>
            <w:top w:val="none" w:sz="0" w:space="0" w:color="auto"/>
            <w:left w:val="none" w:sz="0" w:space="0" w:color="auto"/>
            <w:bottom w:val="none" w:sz="0" w:space="0" w:color="auto"/>
            <w:right w:val="none" w:sz="0" w:space="0" w:color="auto"/>
          </w:divBdr>
        </w:div>
        <w:div w:id="621764889">
          <w:marLeft w:val="0"/>
          <w:marRight w:val="0"/>
          <w:marTop w:val="0"/>
          <w:marBottom w:val="225"/>
          <w:divBdr>
            <w:top w:val="none" w:sz="0" w:space="0" w:color="auto"/>
            <w:left w:val="none" w:sz="0" w:space="0" w:color="auto"/>
            <w:bottom w:val="none" w:sz="0" w:space="0" w:color="auto"/>
            <w:right w:val="none" w:sz="0" w:space="0" w:color="auto"/>
          </w:divBdr>
        </w:div>
        <w:div w:id="705562799">
          <w:marLeft w:val="0"/>
          <w:marRight w:val="0"/>
          <w:marTop w:val="0"/>
          <w:marBottom w:val="225"/>
          <w:divBdr>
            <w:top w:val="none" w:sz="0" w:space="0" w:color="auto"/>
            <w:left w:val="none" w:sz="0" w:space="0" w:color="auto"/>
            <w:bottom w:val="none" w:sz="0" w:space="0" w:color="auto"/>
            <w:right w:val="none" w:sz="0" w:space="0" w:color="auto"/>
          </w:divBdr>
        </w:div>
      </w:divsChild>
    </w:div>
    <w:div w:id="672996778">
      <w:bodyDiv w:val="1"/>
      <w:marLeft w:val="0"/>
      <w:marRight w:val="0"/>
      <w:marTop w:val="0"/>
      <w:marBottom w:val="0"/>
      <w:divBdr>
        <w:top w:val="none" w:sz="0" w:space="0" w:color="auto"/>
        <w:left w:val="none" w:sz="0" w:space="0" w:color="auto"/>
        <w:bottom w:val="none" w:sz="0" w:space="0" w:color="auto"/>
        <w:right w:val="none" w:sz="0" w:space="0" w:color="auto"/>
      </w:divBdr>
    </w:div>
    <w:div w:id="683822384">
      <w:bodyDiv w:val="1"/>
      <w:marLeft w:val="0"/>
      <w:marRight w:val="0"/>
      <w:marTop w:val="0"/>
      <w:marBottom w:val="0"/>
      <w:divBdr>
        <w:top w:val="none" w:sz="0" w:space="0" w:color="auto"/>
        <w:left w:val="none" w:sz="0" w:space="0" w:color="auto"/>
        <w:bottom w:val="none" w:sz="0" w:space="0" w:color="auto"/>
        <w:right w:val="none" w:sz="0" w:space="0" w:color="auto"/>
      </w:divBdr>
    </w:div>
    <w:div w:id="773669761">
      <w:bodyDiv w:val="1"/>
      <w:marLeft w:val="0"/>
      <w:marRight w:val="0"/>
      <w:marTop w:val="0"/>
      <w:marBottom w:val="0"/>
      <w:divBdr>
        <w:top w:val="none" w:sz="0" w:space="0" w:color="auto"/>
        <w:left w:val="none" w:sz="0" w:space="0" w:color="auto"/>
        <w:bottom w:val="none" w:sz="0" w:space="0" w:color="auto"/>
        <w:right w:val="none" w:sz="0" w:space="0" w:color="auto"/>
      </w:divBdr>
    </w:div>
    <w:div w:id="780952556">
      <w:bodyDiv w:val="1"/>
      <w:marLeft w:val="0"/>
      <w:marRight w:val="0"/>
      <w:marTop w:val="0"/>
      <w:marBottom w:val="0"/>
      <w:divBdr>
        <w:top w:val="none" w:sz="0" w:space="0" w:color="auto"/>
        <w:left w:val="none" w:sz="0" w:space="0" w:color="auto"/>
        <w:bottom w:val="none" w:sz="0" w:space="0" w:color="auto"/>
        <w:right w:val="none" w:sz="0" w:space="0" w:color="auto"/>
      </w:divBdr>
      <w:divsChild>
        <w:div w:id="1069184661">
          <w:marLeft w:val="0"/>
          <w:marRight w:val="0"/>
          <w:marTop w:val="0"/>
          <w:marBottom w:val="225"/>
          <w:divBdr>
            <w:top w:val="none" w:sz="0" w:space="0" w:color="auto"/>
            <w:left w:val="none" w:sz="0" w:space="0" w:color="auto"/>
            <w:bottom w:val="single" w:sz="6" w:space="8" w:color="EFEFEF"/>
            <w:right w:val="none" w:sz="0" w:space="0" w:color="auto"/>
          </w:divBdr>
        </w:div>
        <w:div w:id="1663772422">
          <w:marLeft w:val="0"/>
          <w:marRight w:val="0"/>
          <w:marTop w:val="0"/>
          <w:marBottom w:val="225"/>
          <w:divBdr>
            <w:top w:val="none" w:sz="0" w:space="0" w:color="auto"/>
            <w:left w:val="none" w:sz="0" w:space="0" w:color="auto"/>
            <w:bottom w:val="none" w:sz="0" w:space="0" w:color="auto"/>
            <w:right w:val="none" w:sz="0" w:space="0" w:color="auto"/>
          </w:divBdr>
          <w:divsChild>
            <w:div w:id="271014004">
              <w:marLeft w:val="0"/>
              <w:marRight w:val="0"/>
              <w:marTop w:val="0"/>
              <w:marBottom w:val="375"/>
              <w:divBdr>
                <w:top w:val="none" w:sz="0" w:space="0" w:color="auto"/>
                <w:left w:val="none" w:sz="0" w:space="0" w:color="auto"/>
                <w:bottom w:val="none" w:sz="0" w:space="0" w:color="auto"/>
                <w:right w:val="none" w:sz="0" w:space="0" w:color="auto"/>
              </w:divBdr>
              <w:divsChild>
                <w:div w:id="1538082281">
                  <w:marLeft w:val="0"/>
                  <w:marRight w:val="0"/>
                  <w:marTop w:val="0"/>
                  <w:marBottom w:val="0"/>
                  <w:divBdr>
                    <w:top w:val="none" w:sz="0" w:space="0" w:color="auto"/>
                    <w:left w:val="none" w:sz="0" w:space="0" w:color="auto"/>
                    <w:bottom w:val="none" w:sz="0" w:space="0" w:color="auto"/>
                    <w:right w:val="none" w:sz="0" w:space="0" w:color="auto"/>
                  </w:divBdr>
                </w:div>
              </w:divsChild>
            </w:div>
            <w:div w:id="1117795130">
              <w:marLeft w:val="0"/>
              <w:marRight w:val="0"/>
              <w:marTop w:val="0"/>
              <w:marBottom w:val="375"/>
              <w:divBdr>
                <w:top w:val="none" w:sz="0" w:space="0" w:color="auto"/>
                <w:left w:val="none" w:sz="0" w:space="0" w:color="auto"/>
                <w:bottom w:val="none" w:sz="0" w:space="0" w:color="auto"/>
                <w:right w:val="none" w:sz="0" w:space="0" w:color="auto"/>
              </w:divBdr>
              <w:divsChild>
                <w:div w:id="27606322">
                  <w:marLeft w:val="0"/>
                  <w:marRight w:val="0"/>
                  <w:marTop w:val="0"/>
                  <w:marBottom w:val="0"/>
                  <w:divBdr>
                    <w:top w:val="none" w:sz="0" w:space="0" w:color="auto"/>
                    <w:left w:val="none" w:sz="0" w:space="0" w:color="auto"/>
                    <w:bottom w:val="none" w:sz="0" w:space="0" w:color="auto"/>
                    <w:right w:val="none" w:sz="0" w:space="0" w:color="auto"/>
                  </w:divBdr>
                </w:div>
              </w:divsChild>
            </w:div>
            <w:div w:id="1413700677">
              <w:marLeft w:val="0"/>
              <w:marRight w:val="0"/>
              <w:marTop w:val="0"/>
              <w:marBottom w:val="375"/>
              <w:divBdr>
                <w:top w:val="none" w:sz="0" w:space="0" w:color="auto"/>
                <w:left w:val="none" w:sz="0" w:space="0" w:color="auto"/>
                <w:bottom w:val="none" w:sz="0" w:space="0" w:color="auto"/>
                <w:right w:val="none" w:sz="0" w:space="0" w:color="auto"/>
              </w:divBdr>
              <w:divsChild>
                <w:div w:id="13502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56836">
      <w:bodyDiv w:val="1"/>
      <w:marLeft w:val="0"/>
      <w:marRight w:val="0"/>
      <w:marTop w:val="0"/>
      <w:marBottom w:val="0"/>
      <w:divBdr>
        <w:top w:val="none" w:sz="0" w:space="0" w:color="auto"/>
        <w:left w:val="none" w:sz="0" w:space="0" w:color="auto"/>
        <w:bottom w:val="none" w:sz="0" w:space="0" w:color="auto"/>
        <w:right w:val="none" w:sz="0" w:space="0" w:color="auto"/>
      </w:divBdr>
    </w:div>
    <w:div w:id="951129752">
      <w:bodyDiv w:val="1"/>
      <w:marLeft w:val="0"/>
      <w:marRight w:val="0"/>
      <w:marTop w:val="0"/>
      <w:marBottom w:val="0"/>
      <w:divBdr>
        <w:top w:val="none" w:sz="0" w:space="0" w:color="auto"/>
        <w:left w:val="none" w:sz="0" w:space="0" w:color="auto"/>
        <w:bottom w:val="none" w:sz="0" w:space="0" w:color="auto"/>
        <w:right w:val="none" w:sz="0" w:space="0" w:color="auto"/>
      </w:divBdr>
    </w:div>
    <w:div w:id="956831697">
      <w:bodyDiv w:val="1"/>
      <w:marLeft w:val="0"/>
      <w:marRight w:val="0"/>
      <w:marTop w:val="0"/>
      <w:marBottom w:val="0"/>
      <w:divBdr>
        <w:top w:val="none" w:sz="0" w:space="0" w:color="auto"/>
        <w:left w:val="none" w:sz="0" w:space="0" w:color="auto"/>
        <w:bottom w:val="none" w:sz="0" w:space="0" w:color="auto"/>
        <w:right w:val="none" w:sz="0" w:space="0" w:color="auto"/>
      </w:divBdr>
    </w:div>
    <w:div w:id="981076251">
      <w:bodyDiv w:val="1"/>
      <w:marLeft w:val="0"/>
      <w:marRight w:val="0"/>
      <w:marTop w:val="0"/>
      <w:marBottom w:val="0"/>
      <w:divBdr>
        <w:top w:val="none" w:sz="0" w:space="0" w:color="auto"/>
        <w:left w:val="none" w:sz="0" w:space="0" w:color="auto"/>
        <w:bottom w:val="none" w:sz="0" w:space="0" w:color="auto"/>
        <w:right w:val="none" w:sz="0" w:space="0" w:color="auto"/>
      </w:divBdr>
    </w:div>
    <w:div w:id="983005797">
      <w:bodyDiv w:val="1"/>
      <w:marLeft w:val="0"/>
      <w:marRight w:val="0"/>
      <w:marTop w:val="0"/>
      <w:marBottom w:val="0"/>
      <w:divBdr>
        <w:top w:val="none" w:sz="0" w:space="0" w:color="auto"/>
        <w:left w:val="none" w:sz="0" w:space="0" w:color="auto"/>
        <w:bottom w:val="none" w:sz="0" w:space="0" w:color="auto"/>
        <w:right w:val="none" w:sz="0" w:space="0" w:color="auto"/>
      </w:divBdr>
    </w:div>
    <w:div w:id="1008488290">
      <w:bodyDiv w:val="1"/>
      <w:marLeft w:val="0"/>
      <w:marRight w:val="0"/>
      <w:marTop w:val="0"/>
      <w:marBottom w:val="0"/>
      <w:divBdr>
        <w:top w:val="none" w:sz="0" w:space="0" w:color="auto"/>
        <w:left w:val="none" w:sz="0" w:space="0" w:color="auto"/>
        <w:bottom w:val="none" w:sz="0" w:space="0" w:color="auto"/>
        <w:right w:val="none" w:sz="0" w:space="0" w:color="auto"/>
      </w:divBdr>
      <w:divsChild>
        <w:div w:id="333069187">
          <w:marLeft w:val="0"/>
          <w:marRight w:val="0"/>
          <w:marTop w:val="0"/>
          <w:marBottom w:val="0"/>
          <w:divBdr>
            <w:top w:val="none" w:sz="0" w:space="0" w:color="auto"/>
            <w:left w:val="none" w:sz="0" w:space="0" w:color="auto"/>
            <w:bottom w:val="none" w:sz="0" w:space="0" w:color="auto"/>
            <w:right w:val="none" w:sz="0" w:space="0" w:color="auto"/>
          </w:divBdr>
          <w:divsChild>
            <w:div w:id="1607734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1421124">
      <w:bodyDiv w:val="1"/>
      <w:marLeft w:val="0"/>
      <w:marRight w:val="0"/>
      <w:marTop w:val="0"/>
      <w:marBottom w:val="0"/>
      <w:divBdr>
        <w:top w:val="none" w:sz="0" w:space="0" w:color="auto"/>
        <w:left w:val="none" w:sz="0" w:space="0" w:color="auto"/>
        <w:bottom w:val="none" w:sz="0" w:space="0" w:color="auto"/>
        <w:right w:val="none" w:sz="0" w:space="0" w:color="auto"/>
      </w:divBdr>
    </w:div>
    <w:div w:id="1057819472">
      <w:bodyDiv w:val="1"/>
      <w:marLeft w:val="0"/>
      <w:marRight w:val="0"/>
      <w:marTop w:val="0"/>
      <w:marBottom w:val="0"/>
      <w:divBdr>
        <w:top w:val="none" w:sz="0" w:space="0" w:color="auto"/>
        <w:left w:val="none" w:sz="0" w:space="0" w:color="auto"/>
        <w:bottom w:val="none" w:sz="0" w:space="0" w:color="auto"/>
        <w:right w:val="none" w:sz="0" w:space="0" w:color="auto"/>
      </w:divBdr>
      <w:divsChild>
        <w:div w:id="1804040612">
          <w:marLeft w:val="0"/>
          <w:marRight w:val="0"/>
          <w:marTop w:val="0"/>
          <w:marBottom w:val="0"/>
          <w:divBdr>
            <w:top w:val="none" w:sz="0" w:space="0" w:color="auto"/>
            <w:left w:val="none" w:sz="0" w:space="0" w:color="auto"/>
            <w:bottom w:val="none" w:sz="0" w:space="0" w:color="auto"/>
            <w:right w:val="none" w:sz="0" w:space="0" w:color="auto"/>
          </w:divBdr>
        </w:div>
        <w:div w:id="1646741437">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sChild>
                <w:div w:id="2028553359">
                  <w:marLeft w:val="0"/>
                  <w:marRight w:val="0"/>
                  <w:marTop w:val="0"/>
                  <w:marBottom w:val="0"/>
                  <w:divBdr>
                    <w:top w:val="none" w:sz="0" w:space="0" w:color="auto"/>
                    <w:left w:val="none" w:sz="0" w:space="0" w:color="auto"/>
                    <w:bottom w:val="none" w:sz="0" w:space="0" w:color="auto"/>
                    <w:right w:val="none" w:sz="0" w:space="0" w:color="auto"/>
                  </w:divBdr>
                  <w:divsChild>
                    <w:div w:id="363947171">
                      <w:marLeft w:val="0"/>
                      <w:marRight w:val="0"/>
                      <w:marTop w:val="0"/>
                      <w:marBottom w:val="0"/>
                      <w:divBdr>
                        <w:top w:val="none" w:sz="0" w:space="0" w:color="auto"/>
                        <w:left w:val="none" w:sz="0" w:space="0" w:color="auto"/>
                        <w:bottom w:val="none" w:sz="0" w:space="0" w:color="auto"/>
                        <w:right w:val="none" w:sz="0" w:space="0" w:color="auto"/>
                      </w:divBdr>
                      <w:divsChild>
                        <w:div w:id="6581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7463">
                  <w:marLeft w:val="0"/>
                  <w:marRight w:val="0"/>
                  <w:marTop w:val="0"/>
                  <w:marBottom w:val="0"/>
                  <w:divBdr>
                    <w:top w:val="none" w:sz="0" w:space="0" w:color="auto"/>
                    <w:left w:val="none" w:sz="0" w:space="0" w:color="auto"/>
                    <w:bottom w:val="none" w:sz="0" w:space="0" w:color="auto"/>
                    <w:right w:val="none" w:sz="0" w:space="0" w:color="auto"/>
                  </w:divBdr>
                  <w:divsChild>
                    <w:div w:id="697000412">
                      <w:marLeft w:val="0"/>
                      <w:marRight w:val="0"/>
                      <w:marTop w:val="600"/>
                      <w:marBottom w:val="0"/>
                      <w:divBdr>
                        <w:top w:val="none" w:sz="0" w:space="0" w:color="auto"/>
                        <w:left w:val="none" w:sz="0" w:space="0" w:color="auto"/>
                        <w:bottom w:val="none" w:sz="0" w:space="0" w:color="auto"/>
                        <w:right w:val="none" w:sz="0" w:space="0" w:color="auto"/>
                      </w:divBdr>
                      <w:divsChild>
                        <w:div w:id="121534587">
                          <w:marLeft w:val="0"/>
                          <w:marRight w:val="0"/>
                          <w:marTop w:val="0"/>
                          <w:marBottom w:val="300"/>
                          <w:divBdr>
                            <w:top w:val="none" w:sz="0" w:space="0" w:color="auto"/>
                            <w:left w:val="none" w:sz="0" w:space="0" w:color="auto"/>
                            <w:bottom w:val="none" w:sz="0" w:space="0" w:color="auto"/>
                            <w:right w:val="none" w:sz="0" w:space="0" w:color="auto"/>
                          </w:divBdr>
                          <w:divsChild>
                            <w:div w:id="652947289">
                              <w:marLeft w:val="0"/>
                              <w:marRight w:val="0"/>
                              <w:marTop w:val="0"/>
                              <w:marBottom w:val="0"/>
                              <w:divBdr>
                                <w:top w:val="none" w:sz="0" w:space="0" w:color="auto"/>
                                <w:left w:val="none" w:sz="0" w:space="0" w:color="auto"/>
                                <w:bottom w:val="none" w:sz="0" w:space="0" w:color="auto"/>
                                <w:right w:val="none" w:sz="0" w:space="0" w:color="auto"/>
                              </w:divBdr>
                              <w:divsChild>
                                <w:div w:id="1389920059">
                                  <w:marLeft w:val="0"/>
                                  <w:marRight w:val="0"/>
                                  <w:marTop w:val="0"/>
                                  <w:marBottom w:val="0"/>
                                  <w:divBdr>
                                    <w:top w:val="none" w:sz="0" w:space="0" w:color="auto"/>
                                    <w:left w:val="none" w:sz="0" w:space="0" w:color="auto"/>
                                    <w:bottom w:val="none" w:sz="0" w:space="0" w:color="auto"/>
                                    <w:right w:val="single" w:sz="6" w:space="5" w:color="DDDDDD"/>
                                  </w:divBdr>
                                  <w:divsChild>
                                    <w:div w:id="1582325782">
                                      <w:marLeft w:val="0"/>
                                      <w:marRight w:val="0"/>
                                      <w:marTop w:val="0"/>
                                      <w:marBottom w:val="450"/>
                                      <w:divBdr>
                                        <w:top w:val="none" w:sz="0" w:space="0" w:color="auto"/>
                                        <w:left w:val="none" w:sz="0" w:space="0" w:color="auto"/>
                                        <w:bottom w:val="none" w:sz="0" w:space="0" w:color="auto"/>
                                        <w:right w:val="none" w:sz="0" w:space="0" w:color="auto"/>
                                      </w:divBdr>
                                      <w:divsChild>
                                        <w:div w:id="1355230990">
                                          <w:marLeft w:val="0"/>
                                          <w:marRight w:val="0"/>
                                          <w:marTop w:val="0"/>
                                          <w:marBottom w:val="75"/>
                                          <w:divBdr>
                                            <w:top w:val="none" w:sz="0" w:space="0" w:color="auto"/>
                                            <w:left w:val="single" w:sz="36" w:space="4" w:color="C70D0C"/>
                                            <w:bottom w:val="single" w:sz="6" w:space="4" w:color="C70D0C"/>
                                            <w:right w:val="none" w:sz="0" w:space="0" w:color="auto"/>
                                          </w:divBdr>
                                        </w:div>
                                        <w:div w:id="1383140672">
                                          <w:marLeft w:val="0"/>
                                          <w:marRight w:val="0"/>
                                          <w:marTop w:val="0"/>
                                          <w:marBottom w:val="0"/>
                                          <w:divBdr>
                                            <w:top w:val="none" w:sz="0" w:space="0" w:color="auto"/>
                                            <w:left w:val="none" w:sz="0" w:space="0" w:color="auto"/>
                                            <w:bottom w:val="none" w:sz="0" w:space="0" w:color="auto"/>
                                            <w:right w:val="none" w:sz="0" w:space="0" w:color="auto"/>
                                          </w:divBdr>
                                          <w:divsChild>
                                            <w:div w:id="1160347576">
                                              <w:marLeft w:val="0"/>
                                              <w:marRight w:val="0"/>
                                              <w:marTop w:val="0"/>
                                              <w:marBottom w:val="0"/>
                                              <w:divBdr>
                                                <w:top w:val="none" w:sz="0" w:space="0" w:color="auto"/>
                                                <w:left w:val="none" w:sz="0" w:space="0" w:color="auto"/>
                                                <w:bottom w:val="none" w:sz="0" w:space="0" w:color="auto"/>
                                                <w:right w:val="none" w:sz="0" w:space="0" w:color="auto"/>
                                              </w:divBdr>
                                              <w:divsChild>
                                                <w:div w:id="975987687">
                                                  <w:marLeft w:val="0"/>
                                                  <w:marRight w:val="0"/>
                                                  <w:marTop w:val="0"/>
                                                  <w:marBottom w:val="0"/>
                                                  <w:divBdr>
                                                    <w:top w:val="none" w:sz="0" w:space="0" w:color="auto"/>
                                                    <w:left w:val="none" w:sz="0" w:space="0" w:color="auto"/>
                                                    <w:bottom w:val="none" w:sz="0" w:space="0" w:color="auto"/>
                                                    <w:right w:val="none" w:sz="0" w:space="0" w:color="auto"/>
                                                  </w:divBdr>
                                                </w:div>
                                              </w:divsChild>
                                            </w:div>
                                            <w:div w:id="1271208727">
                                              <w:marLeft w:val="0"/>
                                              <w:marRight w:val="0"/>
                                              <w:marTop w:val="0"/>
                                              <w:marBottom w:val="0"/>
                                              <w:divBdr>
                                                <w:top w:val="none" w:sz="0" w:space="0" w:color="auto"/>
                                                <w:left w:val="none" w:sz="0" w:space="0" w:color="auto"/>
                                                <w:bottom w:val="none" w:sz="0" w:space="0" w:color="auto"/>
                                                <w:right w:val="none" w:sz="0" w:space="0" w:color="auto"/>
                                              </w:divBdr>
                                              <w:divsChild>
                                                <w:div w:id="1668551737">
                                                  <w:marLeft w:val="0"/>
                                                  <w:marRight w:val="0"/>
                                                  <w:marTop w:val="0"/>
                                                  <w:marBottom w:val="0"/>
                                                  <w:divBdr>
                                                    <w:top w:val="none" w:sz="0" w:space="0" w:color="auto"/>
                                                    <w:left w:val="none" w:sz="0" w:space="0" w:color="auto"/>
                                                    <w:bottom w:val="none" w:sz="0" w:space="0" w:color="auto"/>
                                                    <w:right w:val="none" w:sz="0" w:space="0" w:color="auto"/>
                                                  </w:divBdr>
                                                </w:div>
                                              </w:divsChild>
                                            </w:div>
                                            <w:div w:id="1407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7827">
                                      <w:marLeft w:val="0"/>
                                      <w:marRight w:val="0"/>
                                      <w:marTop w:val="0"/>
                                      <w:marBottom w:val="150"/>
                                      <w:divBdr>
                                        <w:top w:val="none" w:sz="0" w:space="0" w:color="auto"/>
                                        <w:left w:val="none" w:sz="0" w:space="0" w:color="auto"/>
                                        <w:bottom w:val="none" w:sz="0" w:space="0" w:color="auto"/>
                                        <w:right w:val="none" w:sz="0" w:space="0" w:color="auto"/>
                                      </w:divBdr>
                                      <w:divsChild>
                                        <w:div w:id="870916315">
                                          <w:marLeft w:val="0"/>
                                          <w:marRight w:val="0"/>
                                          <w:marTop w:val="0"/>
                                          <w:marBottom w:val="0"/>
                                          <w:divBdr>
                                            <w:top w:val="none" w:sz="0" w:space="0" w:color="auto"/>
                                            <w:left w:val="single" w:sz="12" w:space="8" w:color="B60000"/>
                                            <w:bottom w:val="none" w:sz="0" w:space="0" w:color="auto"/>
                                            <w:right w:val="none" w:sz="0" w:space="0" w:color="auto"/>
                                          </w:divBdr>
                                          <w:divsChild>
                                            <w:div w:id="16061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850201">
      <w:bodyDiv w:val="1"/>
      <w:marLeft w:val="0"/>
      <w:marRight w:val="0"/>
      <w:marTop w:val="0"/>
      <w:marBottom w:val="0"/>
      <w:divBdr>
        <w:top w:val="none" w:sz="0" w:space="0" w:color="auto"/>
        <w:left w:val="none" w:sz="0" w:space="0" w:color="auto"/>
        <w:bottom w:val="none" w:sz="0" w:space="0" w:color="auto"/>
        <w:right w:val="none" w:sz="0" w:space="0" w:color="auto"/>
      </w:divBdr>
    </w:div>
    <w:div w:id="1187019240">
      <w:bodyDiv w:val="1"/>
      <w:marLeft w:val="0"/>
      <w:marRight w:val="0"/>
      <w:marTop w:val="0"/>
      <w:marBottom w:val="0"/>
      <w:divBdr>
        <w:top w:val="none" w:sz="0" w:space="0" w:color="auto"/>
        <w:left w:val="none" w:sz="0" w:space="0" w:color="auto"/>
        <w:bottom w:val="none" w:sz="0" w:space="0" w:color="auto"/>
        <w:right w:val="none" w:sz="0" w:space="0" w:color="auto"/>
      </w:divBdr>
    </w:div>
    <w:div w:id="1226337580">
      <w:bodyDiv w:val="1"/>
      <w:marLeft w:val="0"/>
      <w:marRight w:val="0"/>
      <w:marTop w:val="0"/>
      <w:marBottom w:val="0"/>
      <w:divBdr>
        <w:top w:val="none" w:sz="0" w:space="0" w:color="auto"/>
        <w:left w:val="none" w:sz="0" w:space="0" w:color="auto"/>
        <w:bottom w:val="none" w:sz="0" w:space="0" w:color="auto"/>
        <w:right w:val="none" w:sz="0" w:space="0" w:color="auto"/>
      </w:divBdr>
      <w:divsChild>
        <w:div w:id="433130792">
          <w:marLeft w:val="0"/>
          <w:marRight w:val="0"/>
          <w:marTop w:val="75"/>
          <w:marBottom w:val="0"/>
          <w:divBdr>
            <w:top w:val="none" w:sz="0" w:space="0" w:color="auto"/>
            <w:left w:val="none" w:sz="0" w:space="0" w:color="auto"/>
            <w:bottom w:val="none" w:sz="0" w:space="0" w:color="auto"/>
            <w:right w:val="none" w:sz="0" w:space="0" w:color="auto"/>
          </w:divBdr>
        </w:div>
      </w:divsChild>
    </w:div>
    <w:div w:id="1397777852">
      <w:bodyDiv w:val="1"/>
      <w:marLeft w:val="0"/>
      <w:marRight w:val="0"/>
      <w:marTop w:val="0"/>
      <w:marBottom w:val="0"/>
      <w:divBdr>
        <w:top w:val="none" w:sz="0" w:space="0" w:color="auto"/>
        <w:left w:val="none" w:sz="0" w:space="0" w:color="auto"/>
        <w:bottom w:val="none" w:sz="0" w:space="0" w:color="auto"/>
        <w:right w:val="none" w:sz="0" w:space="0" w:color="auto"/>
      </w:divBdr>
    </w:div>
    <w:div w:id="1483497124">
      <w:bodyDiv w:val="1"/>
      <w:marLeft w:val="0"/>
      <w:marRight w:val="0"/>
      <w:marTop w:val="0"/>
      <w:marBottom w:val="0"/>
      <w:divBdr>
        <w:top w:val="none" w:sz="0" w:space="0" w:color="auto"/>
        <w:left w:val="none" w:sz="0" w:space="0" w:color="auto"/>
        <w:bottom w:val="none" w:sz="0" w:space="0" w:color="auto"/>
        <w:right w:val="none" w:sz="0" w:space="0" w:color="auto"/>
      </w:divBdr>
    </w:div>
    <w:div w:id="1526749334">
      <w:bodyDiv w:val="1"/>
      <w:marLeft w:val="0"/>
      <w:marRight w:val="0"/>
      <w:marTop w:val="0"/>
      <w:marBottom w:val="0"/>
      <w:divBdr>
        <w:top w:val="none" w:sz="0" w:space="0" w:color="auto"/>
        <w:left w:val="none" w:sz="0" w:space="0" w:color="auto"/>
        <w:bottom w:val="none" w:sz="0" w:space="0" w:color="auto"/>
        <w:right w:val="none" w:sz="0" w:space="0" w:color="auto"/>
      </w:divBdr>
      <w:divsChild>
        <w:div w:id="1240095924">
          <w:marLeft w:val="0"/>
          <w:marRight w:val="0"/>
          <w:marTop w:val="0"/>
          <w:marBottom w:val="225"/>
          <w:divBdr>
            <w:top w:val="none" w:sz="0" w:space="0" w:color="auto"/>
            <w:left w:val="none" w:sz="0" w:space="0" w:color="auto"/>
            <w:bottom w:val="none" w:sz="0" w:space="0" w:color="auto"/>
            <w:right w:val="none" w:sz="0" w:space="0" w:color="auto"/>
          </w:divBdr>
        </w:div>
        <w:div w:id="26029342">
          <w:marLeft w:val="0"/>
          <w:marRight w:val="0"/>
          <w:marTop w:val="0"/>
          <w:marBottom w:val="225"/>
          <w:divBdr>
            <w:top w:val="none" w:sz="0" w:space="0" w:color="auto"/>
            <w:left w:val="none" w:sz="0" w:space="0" w:color="auto"/>
            <w:bottom w:val="none" w:sz="0" w:space="0" w:color="auto"/>
            <w:right w:val="none" w:sz="0" w:space="0" w:color="auto"/>
          </w:divBdr>
        </w:div>
        <w:div w:id="1711224828">
          <w:marLeft w:val="0"/>
          <w:marRight w:val="0"/>
          <w:marTop w:val="0"/>
          <w:marBottom w:val="225"/>
          <w:divBdr>
            <w:top w:val="none" w:sz="0" w:space="0" w:color="auto"/>
            <w:left w:val="none" w:sz="0" w:space="0" w:color="auto"/>
            <w:bottom w:val="none" w:sz="0" w:space="0" w:color="auto"/>
            <w:right w:val="none" w:sz="0" w:space="0" w:color="auto"/>
          </w:divBdr>
        </w:div>
        <w:div w:id="1204175315">
          <w:marLeft w:val="0"/>
          <w:marRight w:val="0"/>
          <w:marTop w:val="0"/>
          <w:marBottom w:val="225"/>
          <w:divBdr>
            <w:top w:val="none" w:sz="0" w:space="0" w:color="auto"/>
            <w:left w:val="none" w:sz="0" w:space="0" w:color="auto"/>
            <w:bottom w:val="none" w:sz="0" w:space="0" w:color="auto"/>
            <w:right w:val="none" w:sz="0" w:space="0" w:color="auto"/>
          </w:divBdr>
        </w:div>
        <w:div w:id="1648898826">
          <w:marLeft w:val="0"/>
          <w:marRight w:val="0"/>
          <w:marTop w:val="0"/>
          <w:marBottom w:val="225"/>
          <w:divBdr>
            <w:top w:val="none" w:sz="0" w:space="0" w:color="auto"/>
            <w:left w:val="none" w:sz="0" w:space="0" w:color="auto"/>
            <w:bottom w:val="none" w:sz="0" w:space="0" w:color="auto"/>
            <w:right w:val="none" w:sz="0" w:space="0" w:color="auto"/>
          </w:divBdr>
        </w:div>
        <w:div w:id="761876718">
          <w:marLeft w:val="0"/>
          <w:marRight w:val="0"/>
          <w:marTop w:val="0"/>
          <w:marBottom w:val="225"/>
          <w:divBdr>
            <w:top w:val="none" w:sz="0" w:space="0" w:color="auto"/>
            <w:left w:val="none" w:sz="0" w:space="0" w:color="auto"/>
            <w:bottom w:val="none" w:sz="0" w:space="0" w:color="auto"/>
            <w:right w:val="none" w:sz="0" w:space="0" w:color="auto"/>
          </w:divBdr>
        </w:div>
        <w:div w:id="1645156668">
          <w:marLeft w:val="0"/>
          <w:marRight w:val="0"/>
          <w:marTop w:val="0"/>
          <w:marBottom w:val="225"/>
          <w:divBdr>
            <w:top w:val="none" w:sz="0" w:space="0" w:color="auto"/>
            <w:left w:val="none" w:sz="0" w:space="0" w:color="auto"/>
            <w:bottom w:val="none" w:sz="0" w:space="0" w:color="auto"/>
            <w:right w:val="none" w:sz="0" w:space="0" w:color="auto"/>
          </w:divBdr>
        </w:div>
        <w:div w:id="407655989">
          <w:marLeft w:val="0"/>
          <w:marRight w:val="0"/>
          <w:marTop w:val="0"/>
          <w:marBottom w:val="225"/>
          <w:divBdr>
            <w:top w:val="none" w:sz="0" w:space="0" w:color="auto"/>
            <w:left w:val="none" w:sz="0" w:space="0" w:color="auto"/>
            <w:bottom w:val="none" w:sz="0" w:space="0" w:color="auto"/>
            <w:right w:val="none" w:sz="0" w:space="0" w:color="auto"/>
          </w:divBdr>
        </w:div>
        <w:div w:id="1654992256">
          <w:marLeft w:val="0"/>
          <w:marRight w:val="0"/>
          <w:marTop w:val="0"/>
          <w:marBottom w:val="225"/>
          <w:divBdr>
            <w:top w:val="none" w:sz="0" w:space="0" w:color="auto"/>
            <w:left w:val="none" w:sz="0" w:space="0" w:color="auto"/>
            <w:bottom w:val="none" w:sz="0" w:space="0" w:color="auto"/>
            <w:right w:val="none" w:sz="0" w:space="0" w:color="auto"/>
          </w:divBdr>
        </w:div>
        <w:div w:id="578835210">
          <w:marLeft w:val="0"/>
          <w:marRight w:val="0"/>
          <w:marTop w:val="0"/>
          <w:marBottom w:val="225"/>
          <w:divBdr>
            <w:top w:val="none" w:sz="0" w:space="0" w:color="auto"/>
            <w:left w:val="none" w:sz="0" w:space="0" w:color="auto"/>
            <w:bottom w:val="none" w:sz="0" w:space="0" w:color="auto"/>
            <w:right w:val="none" w:sz="0" w:space="0" w:color="auto"/>
          </w:divBdr>
        </w:div>
        <w:div w:id="1448936104">
          <w:marLeft w:val="0"/>
          <w:marRight w:val="0"/>
          <w:marTop w:val="0"/>
          <w:marBottom w:val="225"/>
          <w:divBdr>
            <w:top w:val="none" w:sz="0" w:space="0" w:color="auto"/>
            <w:left w:val="none" w:sz="0" w:space="0" w:color="auto"/>
            <w:bottom w:val="none" w:sz="0" w:space="0" w:color="auto"/>
            <w:right w:val="none" w:sz="0" w:space="0" w:color="auto"/>
          </w:divBdr>
        </w:div>
        <w:div w:id="13852558">
          <w:marLeft w:val="0"/>
          <w:marRight w:val="0"/>
          <w:marTop w:val="0"/>
          <w:marBottom w:val="225"/>
          <w:divBdr>
            <w:top w:val="none" w:sz="0" w:space="0" w:color="auto"/>
            <w:left w:val="none" w:sz="0" w:space="0" w:color="auto"/>
            <w:bottom w:val="none" w:sz="0" w:space="0" w:color="auto"/>
            <w:right w:val="none" w:sz="0" w:space="0" w:color="auto"/>
          </w:divBdr>
        </w:div>
        <w:div w:id="1579903013">
          <w:marLeft w:val="0"/>
          <w:marRight w:val="0"/>
          <w:marTop w:val="0"/>
          <w:marBottom w:val="225"/>
          <w:divBdr>
            <w:top w:val="none" w:sz="0" w:space="0" w:color="auto"/>
            <w:left w:val="none" w:sz="0" w:space="0" w:color="auto"/>
            <w:bottom w:val="none" w:sz="0" w:space="0" w:color="auto"/>
            <w:right w:val="none" w:sz="0" w:space="0" w:color="auto"/>
          </w:divBdr>
        </w:div>
        <w:div w:id="83112204">
          <w:marLeft w:val="0"/>
          <w:marRight w:val="0"/>
          <w:marTop w:val="0"/>
          <w:marBottom w:val="225"/>
          <w:divBdr>
            <w:top w:val="none" w:sz="0" w:space="0" w:color="auto"/>
            <w:left w:val="none" w:sz="0" w:space="0" w:color="auto"/>
            <w:bottom w:val="none" w:sz="0" w:space="0" w:color="auto"/>
            <w:right w:val="none" w:sz="0" w:space="0" w:color="auto"/>
          </w:divBdr>
        </w:div>
        <w:div w:id="868953147">
          <w:marLeft w:val="0"/>
          <w:marRight w:val="0"/>
          <w:marTop w:val="0"/>
          <w:marBottom w:val="225"/>
          <w:divBdr>
            <w:top w:val="none" w:sz="0" w:space="0" w:color="auto"/>
            <w:left w:val="none" w:sz="0" w:space="0" w:color="auto"/>
            <w:bottom w:val="none" w:sz="0" w:space="0" w:color="auto"/>
            <w:right w:val="none" w:sz="0" w:space="0" w:color="auto"/>
          </w:divBdr>
        </w:div>
        <w:div w:id="2063285481">
          <w:marLeft w:val="0"/>
          <w:marRight w:val="0"/>
          <w:marTop w:val="0"/>
          <w:marBottom w:val="225"/>
          <w:divBdr>
            <w:top w:val="none" w:sz="0" w:space="0" w:color="auto"/>
            <w:left w:val="none" w:sz="0" w:space="0" w:color="auto"/>
            <w:bottom w:val="none" w:sz="0" w:space="0" w:color="auto"/>
            <w:right w:val="none" w:sz="0" w:space="0" w:color="auto"/>
          </w:divBdr>
        </w:div>
        <w:div w:id="1369842424">
          <w:marLeft w:val="0"/>
          <w:marRight w:val="0"/>
          <w:marTop w:val="0"/>
          <w:marBottom w:val="225"/>
          <w:divBdr>
            <w:top w:val="none" w:sz="0" w:space="0" w:color="auto"/>
            <w:left w:val="none" w:sz="0" w:space="0" w:color="auto"/>
            <w:bottom w:val="none" w:sz="0" w:space="0" w:color="auto"/>
            <w:right w:val="none" w:sz="0" w:space="0" w:color="auto"/>
          </w:divBdr>
        </w:div>
        <w:div w:id="160701722">
          <w:marLeft w:val="0"/>
          <w:marRight w:val="0"/>
          <w:marTop w:val="0"/>
          <w:marBottom w:val="225"/>
          <w:divBdr>
            <w:top w:val="none" w:sz="0" w:space="0" w:color="auto"/>
            <w:left w:val="none" w:sz="0" w:space="0" w:color="auto"/>
            <w:bottom w:val="none" w:sz="0" w:space="0" w:color="auto"/>
            <w:right w:val="none" w:sz="0" w:space="0" w:color="auto"/>
          </w:divBdr>
        </w:div>
        <w:div w:id="2078476601">
          <w:marLeft w:val="0"/>
          <w:marRight w:val="0"/>
          <w:marTop w:val="0"/>
          <w:marBottom w:val="225"/>
          <w:divBdr>
            <w:top w:val="none" w:sz="0" w:space="0" w:color="auto"/>
            <w:left w:val="none" w:sz="0" w:space="0" w:color="auto"/>
            <w:bottom w:val="none" w:sz="0" w:space="0" w:color="auto"/>
            <w:right w:val="none" w:sz="0" w:space="0" w:color="auto"/>
          </w:divBdr>
        </w:div>
      </w:divsChild>
    </w:div>
    <w:div w:id="1577663575">
      <w:bodyDiv w:val="1"/>
      <w:marLeft w:val="0"/>
      <w:marRight w:val="0"/>
      <w:marTop w:val="0"/>
      <w:marBottom w:val="0"/>
      <w:divBdr>
        <w:top w:val="none" w:sz="0" w:space="0" w:color="auto"/>
        <w:left w:val="none" w:sz="0" w:space="0" w:color="auto"/>
        <w:bottom w:val="none" w:sz="0" w:space="0" w:color="auto"/>
        <w:right w:val="none" w:sz="0" w:space="0" w:color="auto"/>
      </w:divBdr>
    </w:div>
    <w:div w:id="1633947016">
      <w:bodyDiv w:val="1"/>
      <w:marLeft w:val="0"/>
      <w:marRight w:val="0"/>
      <w:marTop w:val="0"/>
      <w:marBottom w:val="0"/>
      <w:divBdr>
        <w:top w:val="none" w:sz="0" w:space="0" w:color="auto"/>
        <w:left w:val="none" w:sz="0" w:space="0" w:color="auto"/>
        <w:bottom w:val="none" w:sz="0" w:space="0" w:color="auto"/>
        <w:right w:val="none" w:sz="0" w:space="0" w:color="auto"/>
      </w:divBdr>
    </w:div>
    <w:div w:id="1661151606">
      <w:bodyDiv w:val="1"/>
      <w:marLeft w:val="0"/>
      <w:marRight w:val="0"/>
      <w:marTop w:val="0"/>
      <w:marBottom w:val="0"/>
      <w:divBdr>
        <w:top w:val="none" w:sz="0" w:space="0" w:color="auto"/>
        <w:left w:val="none" w:sz="0" w:space="0" w:color="auto"/>
        <w:bottom w:val="none" w:sz="0" w:space="0" w:color="auto"/>
        <w:right w:val="none" w:sz="0" w:space="0" w:color="auto"/>
      </w:divBdr>
    </w:div>
    <w:div w:id="1663701710">
      <w:bodyDiv w:val="1"/>
      <w:marLeft w:val="0"/>
      <w:marRight w:val="0"/>
      <w:marTop w:val="0"/>
      <w:marBottom w:val="0"/>
      <w:divBdr>
        <w:top w:val="none" w:sz="0" w:space="0" w:color="auto"/>
        <w:left w:val="none" w:sz="0" w:space="0" w:color="auto"/>
        <w:bottom w:val="none" w:sz="0" w:space="0" w:color="auto"/>
        <w:right w:val="none" w:sz="0" w:space="0" w:color="auto"/>
      </w:divBdr>
    </w:div>
    <w:div w:id="1753308333">
      <w:bodyDiv w:val="1"/>
      <w:marLeft w:val="0"/>
      <w:marRight w:val="0"/>
      <w:marTop w:val="0"/>
      <w:marBottom w:val="0"/>
      <w:divBdr>
        <w:top w:val="none" w:sz="0" w:space="0" w:color="auto"/>
        <w:left w:val="none" w:sz="0" w:space="0" w:color="auto"/>
        <w:bottom w:val="none" w:sz="0" w:space="0" w:color="auto"/>
        <w:right w:val="none" w:sz="0" w:space="0" w:color="auto"/>
      </w:divBdr>
    </w:div>
    <w:div w:id="1762797230">
      <w:bodyDiv w:val="1"/>
      <w:marLeft w:val="0"/>
      <w:marRight w:val="0"/>
      <w:marTop w:val="0"/>
      <w:marBottom w:val="0"/>
      <w:divBdr>
        <w:top w:val="none" w:sz="0" w:space="0" w:color="auto"/>
        <w:left w:val="none" w:sz="0" w:space="0" w:color="auto"/>
        <w:bottom w:val="none" w:sz="0" w:space="0" w:color="auto"/>
        <w:right w:val="none" w:sz="0" w:space="0" w:color="auto"/>
      </w:divBdr>
    </w:div>
    <w:div w:id="1779566642">
      <w:bodyDiv w:val="1"/>
      <w:marLeft w:val="0"/>
      <w:marRight w:val="0"/>
      <w:marTop w:val="0"/>
      <w:marBottom w:val="0"/>
      <w:divBdr>
        <w:top w:val="none" w:sz="0" w:space="0" w:color="auto"/>
        <w:left w:val="none" w:sz="0" w:space="0" w:color="auto"/>
        <w:bottom w:val="none" w:sz="0" w:space="0" w:color="auto"/>
        <w:right w:val="none" w:sz="0" w:space="0" w:color="auto"/>
      </w:divBdr>
    </w:div>
    <w:div w:id="2036229062">
      <w:bodyDiv w:val="1"/>
      <w:marLeft w:val="0"/>
      <w:marRight w:val="0"/>
      <w:marTop w:val="0"/>
      <w:marBottom w:val="0"/>
      <w:divBdr>
        <w:top w:val="none" w:sz="0" w:space="0" w:color="auto"/>
        <w:left w:val="none" w:sz="0" w:space="0" w:color="auto"/>
        <w:bottom w:val="none" w:sz="0" w:space="0" w:color="auto"/>
        <w:right w:val="none" w:sz="0" w:space="0" w:color="auto"/>
      </w:divBdr>
    </w:div>
    <w:div w:id="2079397464">
      <w:bodyDiv w:val="1"/>
      <w:marLeft w:val="0"/>
      <w:marRight w:val="0"/>
      <w:marTop w:val="0"/>
      <w:marBottom w:val="0"/>
      <w:divBdr>
        <w:top w:val="none" w:sz="0" w:space="0" w:color="auto"/>
        <w:left w:val="none" w:sz="0" w:space="0" w:color="auto"/>
        <w:bottom w:val="none" w:sz="0" w:space="0" w:color="auto"/>
        <w:right w:val="none" w:sz="0" w:space="0" w:color="auto"/>
      </w:divBdr>
      <w:divsChild>
        <w:div w:id="1743913744">
          <w:marLeft w:val="0"/>
          <w:marRight w:val="0"/>
          <w:marTop w:val="0"/>
          <w:marBottom w:val="225"/>
          <w:divBdr>
            <w:top w:val="none" w:sz="0" w:space="0" w:color="auto"/>
            <w:left w:val="none" w:sz="0" w:space="0" w:color="auto"/>
            <w:bottom w:val="none" w:sz="0" w:space="0" w:color="auto"/>
            <w:right w:val="none" w:sz="0" w:space="0" w:color="auto"/>
          </w:divBdr>
        </w:div>
        <w:div w:id="147405743">
          <w:marLeft w:val="0"/>
          <w:marRight w:val="0"/>
          <w:marTop w:val="0"/>
          <w:marBottom w:val="225"/>
          <w:divBdr>
            <w:top w:val="none" w:sz="0" w:space="0" w:color="auto"/>
            <w:left w:val="none" w:sz="0" w:space="0" w:color="auto"/>
            <w:bottom w:val="none" w:sz="0" w:space="0" w:color="auto"/>
            <w:right w:val="none" w:sz="0" w:space="0" w:color="auto"/>
          </w:divBdr>
        </w:div>
        <w:div w:id="926961699">
          <w:marLeft w:val="0"/>
          <w:marRight w:val="0"/>
          <w:marTop w:val="0"/>
          <w:marBottom w:val="225"/>
          <w:divBdr>
            <w:top w:val="none" w:sz="0" w:space="0" w:color="auto"/>
            <w:left w:val="none" w:sz="0" w:space="0" w:color="auto"/>
            <w:bottom w:val="none" w:sz="0" w:space="0" w:color="auto"/>
            <w:right w:val="none" w:sz="0" w:space="0" w:color="auto"/>
          </w:divBdr>
        </w:div>
        <w:div w:id="1703096546">
          <w:marLeft w:val="0"/>
          <w:marRight w:val="0"/>
          <w:marTop w:val="0"/>
          <w:marBottom w:val="225"/>
          <w:divBdr>
            <w:top w:val="none" w:sz="0" w:space="0" w:color="auto"/>
            <w:left w:val="none" w:sz="0" w:space="0" w:color="auto"/>
            <w:bottom w:val="none" w:sz="0" w:space="0" w:color="auto"/>
            <w:right w:val="none" w:sz="0" w:space="0" w:color="auto"/>
          </w:divBdr>
        </w:div>
        <w:div w:id="1568801999">
          <w:marLeft w:val="0"/>
          <w:marRight w:val="0"/>
          <w:marTop w:val="0"/>
          <w:marBottom w:val="225"/>
          <w:divBdr>
            <w:top w:val="none" w:sz="0" w:space="0" w:color="auto"/>
            <w:left w:val="none" w:sz="0" w:space="0" w:color="auto"/>
            <w:bottom w:val="none" w:sz="0" w:space="0" w:color="auto"/>
            <w:right w:val="none" w:sz="0" w:space="0" w:color="auto"/>
          </w:divBdr>
        </w:div>
      </w:divsChild>
    </w:div>
    <w:div w:id="21265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Quyet-dinh-1956-QD-NHNN-2021-muc-lai-suat-du-no-cua-cac-khoan-cho-vay-ho-tro-nha-o-497169.aspx" TargetMode="External"/><Relationship Id="rId13" Type="http://schemas.openxmlformats.org/officeDocument/2006/relationships/hyperlink" Target="https://luatvietnam.vn/thue/thong-tu-100-2021-tt-btc-213577-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ien-te-Ngan-hang/Quyet-dinh-1956-QD-NHNN-2021-muc-lai-suat-du-no-cua-cac-khoan-cho-vay-ho-tro-nha-o-497169.aspx"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ien-te-Ngan-hang/Thong-tu-25-2016-TT-NHNN-sua-doi-11-2013-TT-NHNN-cho-vay-ho-tro-nha-o-theo-02-NQ-CP-318429.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tien-te-ngan-hang/thong-tu-32-2014-tt-nhnn-sua-doi-11-2013-tt-nhnn-cho-vay-ho-tro-nha-o-02-nq-cp-257853.aspx" TargetMode="External"/><Relationship Id="rId4" Type="http://schemas.openxmlformats.org/officeDocument/2006/relationships/settings" Target="settings.xml"/><Relationship Id="rId9" Type="http://schemas.openxmlformats.org/officeDocument/2006/relationships/hyperlink" Target="https://thuvienphapluat.vn/van-ban/bat-dong-san/thong-tu-11-2013-tt-nhnn-cho-vay-ho-tro-nha-o-theo-nghi-quyet-02-nq-cp-187638.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C579-9F88-4F0A-899E-A3F473A2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51</cp:revision>
  <cp:lastPrinted>2019-01-09T09:22:00Z</cp:lastPrinted>
  <dcterms:created xsi:type="dcterms:W3CDTF">2021-12-29T02:00:00Z</dcterms:created>
  <dcterms:modified xsi:type="dcterms:W3CDTF">2021-12-30T10:17:00Z</dcterms:modified>
</cp:coreProperties>
</file>